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APERTURA DE CRÉDITO EN CUENTA CORRIENTE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718-734 sobre operaciones de crédito) y Ley de Bancos y Grupos Financieros (Decreto 19-2002)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BANCO [NOMBRE_BANCO], S.A., institución bancaria autorizada para operar en la República de Guatemala según resolución [RES_JM] de la Junta Monetaria y supervisada por la Superintendencia de Bancos, con domicilio en [DIRECCION_BANCO], inscrita en el Registro Mercantil al Número [REG_BANCO], NIT [NIT_BANCO], representada por [REPRESENTANTE_BANCO] en calidad de [CARGO_BANCO], quien en lo sucesivo se denominará el "BANCO" o el "ACREDITANTE".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[NOMBRE_CLIENTE], [comerciante individual / sociedad mercantil], con domicilio en [DIRECCION_CLIENTE], DPI/Patente [DOC_CLIENTE], NIT [NIT_CLIENTE], [representado por [REPRESENTANTE_CLIENTE] según Escritura [NUM_ESCRITURA] inscrita en el Registro Mercantil al número [REG_CLIENTE]], quien en lo sucesivo se denominará el "CLIENTE" o el "ACREDITADO".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BANCO se encuentra debidamente autorizado por la Junta Monetaria y supervisado por la Superintendencia de Bancos para realizar operaciones activas y pasivas de crédito.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CLIENTE ha solicitado al BANCO la apertura de una línea de crédito en cuenta corriente para atender necesidades de capital de trabajo de su empresa.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tras el análisis crediticio respectivo el BANCO ha aprobado la solicitud, sujetando el desembolso a las condiciones del presente contrato y al cumplimiento de la regulación prudencial vigente.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pone a disposición del CLIENTE una línea de crédito en cuenta corriente hasta por el monto de [MONTO_LINEA] Quetzales ("Cupo"). El CLIENTE podrá disponer del Cupo mediante girar contra la cuenta corriente número [NUM_CUENTA] del BANCO, dentro del límite y plazo pactados.</w:t>
      </w:r>
    </w:p>
    <w:p>
      <w:pPr>
        <w:jc w:val="left"/>
      </w:pPr>
      <w:r>
        <w:rPr>
          <w:b/>
          <w:color w:val="2E4E7C"/>
          <w:sz w:val="22"/>
        </w:rPr>
        <w:t>SEGUNDA: PLAZO Y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de la línea es de [12] meses contados desde la firma, renovable previo análisis y aprobación del BANCO. El BANCO se reserva el derecho de no renovar o de reducir el Cupo en función de la evaluación crediticia del CLIENTE conforme a la normativa prudencial.</w:t>
      </w:r>
    </w:p>
    <w:p>
      <w:pPr>
        <w:jc w:val="left"/>
      </w:pPr>
      <w:r>
        <w:rPr>
          <w:b/>
          <w:color w:val="2E4E7C"/>
          <w:sz w:val="22"/>
        </w:rPr>
        <w:t>TERCERA: TASA DE INTERÉS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Sobre los montos efectivamente utilizados se aplicará una tasa de interés anual de [TASA]% revisable [trimestralmente/semestralmente] conforme a las condiciones del mercado y la política del BANCO. Los intereses se calcularán sobre saldos diarios y se cargarán mensualmente a la cuenta del CLIENTE.</w:t>
      </w:r>
    </w:p>
    <w:p>
      <w:pPr>
        <w:jc w:val="left"/>
      </w:pPr>
      <w:r>
        <w:rPr>
          <w:b/>
          <w:color w:val="2E4E7C"/>
          <w:sz w:val="22"/>
        </w:rPr>
        <w:t>CUARTA: INTERESES MORATORIOS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en el pago generará intereses moratorios equivalentes a la tasa pactada más [X] puntos porcentuales, sin exceder la tasa máxima legal autorizada por la Junta Monetaria.</w:t>
      </w:r>
    </w:p>
    <w:p>
      <w:pPr>
        <w:jc w:val="left"/>
      </w:pPr>
      <w:r>
        <w:rPr>
          <w:b/>
          <w:color w:val="2E4E7C"/>
          <w:sz w:val="22"/>
        </w:rPr>
        <w:t>QUINTA: COMISIONES Y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pagará: (a) comisión de apertura de [%] sobre el Cupo; (b) comisión de disponibilidad de [%] anual sobre el saldo no utilizado; (c) gastos de avalúo, registro y mantenimiento; (d) IVA cuando aplique.</w:t>
      </w:r>
    </w:p>
    <w:p>
      <w:pPr>
        <w:jc w:val="left"/>
      </w:pPr>
      <w:r>
        <w:rPr>
          <w:b/>
          <w:color w:val="2E4E7C"/>
          <w:sz w:val="22"/>
        </w:rPr>
        <w:t>SEXTA: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garantizar el cumplimiento, el CLIENTE constituye a favor del BANCO: [garantía fiduciaria, hipotecaria, mobiliaria, prenda, fianza] sobre [DESCRIPCION_GARANTIA], inscrita en el [Registro correspondiente]. Las garantías se mantendrán vigentes hasta la cancelación total del crédito.</w:t>
      </w:r>
    </w:p>
    <w:p>
      <w:pPr>
        <w:jc w:val="left"/>
      </w:pPr>
      <w:r>
        <w:rPr>
          <w:b/>
          <w:color w:val="2E4E7C"/>
          <w:sz w:val="22"/>
        </w:rPr>
        <w:t>SÉPTIMA: DESTINO DEL CRÉDITO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recursos se destinarán exclusivamente a [DESTINO_CREDITO]. El CLIENTE no podrá usar la línea para fines distintos sin autorización escrita del BANCO. El uso indebido constituye causal de vencimiento anticipado.</w:t>
      </w:r>
    </w:p>
    <w:p>
      <w:pPr>
        <w:jc w:val="left"/>
      </w:pPr>
      <w:r>
        <w:rPr>
          <w:b/>
          <w:color w:val="2E4E7C"/>
          <w:sz w:val="22"/>
        </w:rPr>
        <w:t>OCTAVA: OBLIGACIONES DEL CLIENTE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Mantener información financiera actualizada; (b) presentar estados financieros auditados anuales; (c) cumplir indicadores financieros pactados (covenants); (d) no constituir gravámenes adicionales sin autorización; (e) cumplir obligaciones tributarias; (f) atender los procesos de debida diligencia conforme a la Ley contra el Lavado de Dinero (Dto. 67-2001).</w:t>
      </w:r>
    </w:p>
    <w:p>
      <w:pPr>
        <w:jc w:val="left"/>
      </w:pPr>
      <w:r>
        <w:rPr>
          <w:b/>
          <w:color w:val="2E4E7C"/>
          <w:sz w:val="22"/>
        </w:rPr>
        <w:t>NOVENA: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podrá declarar el vencimiento anticipado del crédito y exigir el pago inmediato del saldo en caso de: (a) incumplimiento de pago; (b) falsedad en información proporcionada; (c) deterioro patrimonial significativo; (d) procesos concursales; (e) incumplimiento de covenants; (f) uso indebido del crédito.</w:t>
      </w:r>
    </w:p>
    <w:p>
      <w:pPr>
        <w:jc w:val="left"/>
      </w:pPr>
      <w:r>
        <w:rPr>
          <w:b/>
          <w:color w:val="2E4E7C"/>
          <w:sz w:val="22"/>
        </w:rPr>
        <w:t>DÉCIMA: COMPENSACIÓN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podrá compensar saldos del CLIENTE en cualquier cuenta o depósito contra deudas vencidas derivadas de este contrato, previa notificación.</w:t>
      </w:r>
    </w:p>
    <w:p>
      <w:pPr>
        <w:jc w:val="left"/>
      </w:pPr>
      <w:r>
        <w:rPr>
          <w:b/>
          <w:color w:val="2E4E7C"/>
          <w:sz w:val="22"/>
        </w:rPr>
        <w:t>DÉCIMA PRIMERA: CESIÓN Y SECRETO BANCARIO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BANCO podrá ceder sus derechos a otra entidad del sistema financiero. La información del CLIENTE se protegerá bajo el secreto bancario (Art. 63 Ley de Bancos y Grupos Financieros, Dto. 19-2002), con las excepciones legales.</w:t>
      </w:r>
    </w:p>
    <w:p>
      <w:pPr>
        <w:jc w:val="left"/>
      </w:pPr>
      <w:r>
        <w:rPr>
          <w:b/>
          <w:color w:val="2E4E7C"/>
          <w:sz w:val="22"/>
        </w:rPr>
        <w:t>DÉCIMA SEGUNDA: ARBITRAJE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controversias se someterán a arbitraje administrado por el CENAC; subsidiariamente a los tribunales de [CIUDAD]. Ley aplicable: leyes de Guatemala.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COVENANTS FINANCIEROS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se obliga a mantener: (a) razón corriente no menor a [1.2]; (b) endeudamiento total/patrimonio no mayor a [2.0]; (c) cobertura de intereses no menor a [2.5].</w:t>
      </w:r>
    </w:p>
    <w:p>
      <w:pPr>
        <w:jc w:val="left"/>
      </w:pPr>
      <w:r>
        <w:rPr>
          <w:b/>
          <w:color w:val="2E4E7C"/>
          <w:sz w:val="22"/>
        </w:rPr>
        <w:t>[OPCIONAL] FIADOR SOLIDARIO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[NOMBRE_FIADOR] se constituye en fiador solidario, mancomunado y principal pagador de las obligaciones del CLIENTE, renunciando a los beneficios de orden, excusión y división.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[REPRESENTANTE_BANCO]</w:t>
        <w:br/>
        <w:t>Por: BANCO [NOMBRE_BANCO], S.A.</w:t>
        <w:br/>
        <w:t>Sello del Banco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[REPRESENTANTE_CLIENTE]</w:t>
        <w:br/>
        <w:t>Por: [NOMBRE_CLIENTE]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[NOMBRE_FIADOR/CODEUDOR si aplica]</w:t>
        <w:br/>
        <w:t>Fiador solidario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Bancos y Grupos Financieros (Dto. 19-2002): autorización de operaciones activas, supervisión por la Superintendencia de Bancos.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Orgánica del Banco de Guatemala (Dto. 16-2002) y Ley Monetaria (Dto. 17-2002).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Reglamentos de la Junta Monetaria sobre clasificación de cartera y reservas (Res. JM-93-2005 y modificaciones).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Comercio: aplicación supletoria.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u Otros Activos (Dto. 67-2001) y normativa de la IVE: debida diligencia y conozca a su cliente.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Secreto bancario: Art. 63 Ley de Bancos y Grupos Financieros (Dto. 19-2002).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Garantías Mobiliarias (Dto. 51-2007): si se constituye prenda sin desplazamiento.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Financiamiento del Terrorismo (Dto. 58-2005).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[MONTO_LINEA]</w:t>
            </w:r>
          </w:p>
        </w:tc>
        <w:tc>
          <w:tcPr>
            <w:tcW w:type="dxa" w:w="4703"/>
          </w:tcPr>
          <w:p>
            <w:r>
              <w:t>Cupo máximo de la línea de crédito</w:t>
            </w:r>
          </w:p>
        </w:tc>
      </w:tr>
      <w:tr>
        <w:tc>
          <w:tcPr>
            <w:tcW w:type="dxa" w:w="4703"/>
          </w:tcPr>
          <w:p>
            <w:r>
              <w:t>[TASA]</w:t>
            </w:r>
          </w:p>
        </w:tc>
        <w:tc>
          <w:tcPr>
            <w:tcW w:type="dxa" w:w="4703"/>
          </w:tcPr>
          <w:p>
            <w:r>
              <w:t>Tasa de interés anual</w:t>
            </w:r>
          </w:p>
        </w:tc>
      </w:tr>
      <w:tr>
        <w:tc>
          <w:tcPr>
            <w:tcW w:type="dxa" w:w="4703"/>
          </w:tcPr>
          <w:p>
            <w:r>
              <w:t>[DESCRIPCION_GARANTIA]</w:t>
            </w:r>
          </w:p>
        </w:tc>
        <w:tc>
          <w:tcPr>
            <w:tcW w:type="dxa" w:w="4703"/>
          </w:tcPr>
          <w:p>
            <w:r>
              <w:t>Detalle de la garantía constituida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de crédito firmada y aprobación del Comité de Crédito</w:t>
      </w:r>
    </w:p>
    <w:p>
      <w:r>
        <w:rPr>
          <w:rFonts w:ascii="Calibri" w:hAnsi="Calibri"/>
          <w:b w:val="0"/>
          <w:i w:val="0"/>
          <w:sz w:val="21"/>
        </w:rPr>
        <w:t>☐  Estados financieros del CLIENTE de últimos 2-3 ejercicios</w:t>
      </w:r>
    </w:p>
    <w:p>
      <w:r>
        <w:rPr>
          <w:rFonts w:ascii="Calibri" w:hAnsi="Calibri"/>
          <w:b w:val="0"/>
          <w:i w:val="0"/>
          <w:sz w:val="21"/>
        </w:rPr>
        <w:t>☐  Declaración patrimonial y referencias bancarias y comerciales</w:t>
      </w:r>
    </w:p>
    <w:p>
      <w:r>
        <w:rPr>
          <w:rFonts w:ascii="Calibri" w:hAnsi="Calibri"/>
          <w:b w:val="0"/>
          <w:i w:val="0"/>
          <w:sz w:val="21"/>
        </w:rPr>
        <w:t>☐  Formulario IVE de conozca a su cliente y origen de fondos</w:t>
      </w:r>
    </w:p>
    <w:p>
      <w:r>
        <w:rPr>
          <w:rFonts w:ascii="Calibri" w:hAnsi="Calibri"/>
          <w:b w:val="0"/>
          <w:i w:val="0"/>
          <w:sz w:val="21"/>
        </w:rPr>
        <w:t>☐  Documentación de constitución y representación legal vigente</w:t>
      </w:r>
    </w:p>
    <w:p>
      <w:r>
        <w:rPr>
          <w:rFonts w:ascii="Calibri" w:hAnsi="Calibri"/>
          <w:b w:val="0"/>
          <w:i w:val="0"/>
          <w:sz w:val="21"/>
        </w:rPr>
        <w:t>☐  Avalúo de las garantías por perito autorizado</w:t>
      </w:r>
    </w:p>
    <w:p>
      <w:r>
        <w:rPr>
          <w:rFonts w:ascii="Calibri" w:hAnsi="Calibri"/>
          <w:b w:val="0"/>
          <w:i w:val="0"/>
          <w:sz w:val="21"/>
        </w:rPr>
        <w:t>☐  Inscripción de garantías en el registro respectivo</w:t>
      </w:r>
    </w:p>
    <w:p>
      <w:r>
        <w:rPr>
          <w:rFonts w:ascii="Calibri" w:hAnsi="Calibri"/>
          <w:b w:val="0"/>
          <w:i w:val="0"/>
          <w:sz w:val="21"/>
        </w:rPr>
        <w:t>☐  Pólizas de seguro sobre los bienes en garantía</w:t>
      </w:r>
    </w:p>
    <w:p>
      <w:r>
        <w:rPr>
          <w:rFonts w:ascii="Calibri" w:hAnsi="Calibri"/>
          <w:b w:val="0"/>
          <w:i w:val="0"/>
          <w:sz w:val="21"/>
        </w:rPr>
        <w:t>☐  Constancia de solvencia fiscal y NIT</w:t>
      </w:r>
    </w:p>
    <w:p>
      <w:r>
        <w:rPr>
          <w:rFonts w:ascii="Calibri" w:hAnsi="Calibri"/>
          <w:b w:val="0"/>
          <w:i w:val="0"/>
          <w:sz w:val="21"/>
        </w:rPr>
        <w:t>☐  Pagaré o documento ejecutivo a la orden del BANCO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