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FACTORAJE (FACTORING) SIN RECURSO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atípico mercantil — combina cesión de créditos (CC Arts. 1443 y ss.) y servicios financieros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FACTOR'.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 /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CLIENTE es titular de cuentas por cobrar derivadas de operaciones comerciales con sus clientes (deudores cedidos).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CLIENTE desea ceder dichas cuentas por cobrar a EL FACTOR para obtener liquidez inmediata.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FACTOR asume el riesgo de cobro (factoring sin recurso).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cede a EL FACTOR las cuentas por cobrar descritas en los anexos que periódicamente se firmen. EL FACTOR adquiere los créditos en firme (sin recurso contra el cedente por insolvencia del deudor).</w:t>
      </w:r>
    </w:p>
    <w:p>
      <w:pPr>
        <w:jc w:val="left"/>
      </w:pPr>
      <w:r>
        <w:rPr>
          <w:b/>
          <w:color w:val="2E4E7C"/>
          <w:sz w:val="22"/>
        </w:rPr>
        <w:t>SEGUNDA: PRECIO DE LA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FACTOR pagará al CLIENTE el [#]% del valor nominal de cada factura cedida, neto de comisión por factoraje del [#]% y reserva del [#]% que se liberará al cobro efectivo o vencimiento sin reclamo.</w:t>
      </w:r>
    </w:p>
    <w:p>
      <w:pPr>
        <w:jc w:val="left"/>
      </w:pPr>
      <w:r>
        <w:rPr>
          <w:b/>
          <w:color w:val="2E4E7C"/>
          <w:sz w:val="22"/>
        </w:rPr>
        <w:t>TERCERA: DEUDORES ELEGIBLES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serán cedidas facturas a cargo de deudores aprobados previamente por EL FACTOR. EL FACTOR podrá rechazar deudores o establecer límites por concentración.</w:t>
      </w:r>
    </w:p>
    <w:p>
      <w:pPr>
        <w:jc w:val="left"/>
      </w:pPr>
      <w:r>
        <w:rPr>
          <w:b/>
          <w:color w:val="2E4E7C"/>
          <w:sz w:val="22"/>
        </w:rPr>
        <w:t>CUARTA: NOTIFICACIÓN AL DEUDOR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cesión será notificada por escrito al deudor, indicando que los pagos deben hacerse exclusivamente a EL FACTOR (cesión notificada). EL CLIENTE colaborará en la notificación.</w:t>
      </w:r>
    </w:p>
    <w:p>
      <w:pPr>
        <w:jc w:val="left"/>
      </w:pPr>
      <w:r>
        <w:rPr>
          <w:b/>
          <w:color w:val="2E4E7C"/>
          <w:sz w:val="22"/>
        </w:rPr>
        <w:t>QUINTA: RIESGO DE INSOLVENCIA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FACTOR asume el riesgo de insolvencia comprobada del deudor (sin recurso). NO asume el riesgo derivado de disputas comerciales, devoluciones, calidad, o incumplimientos contractuales del CLIENTE.</w:t>
      </w:r>
    </w:p>
    <w:p>
      <w:pPr>
        <w:jc w:val="left"/>
      </w:pPr>
      <w:r>
        <w:rPr>
          <w:b/>
          <w:color w:val="2E4E7C"/>
          <w:sz w:val="22"/>
        </w:rPr>
        <w:t>SEXTA: OBLIGACIONES DEL CLIENTE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Garantizar la existencia y legitimidad de los créditos; (b) entregar la documentación de respaldo; (c) no ceder los mismos créditos a terceros; (d) notificar la cesión; (e) colaborar en el cobro si lo solicita EL FACTOR.</w:t>
      </w:r>
    </w:p>
    <w:p>
      <w:pPr>
        <w:jc w:val="left"/>
      </w:pPr>
      <w:r>
        <w:rPr>
          <w:b/>
          <w:color w:val="2E4E7C"/>
          <w:sz w:val="22"/>
        </w:rPr>
        <w:t>SÉPTIMA: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tendrá vigencia de [#] meses, prorrogable, y operará como contrato marco para cesiones sucesivas.</w:t>
      </w:r>
    </w:p>
    <w:p>
      <w:pPr>
        <w:jc w:val="left"/>
      </w:pPr>
      <w:r>
        <w:rPr>
          <w:b/>
          <w:color w:val="2E4E7C"/>
          <w:sz w:val="22"/>
        </w:rPr>
        <w:t>OCTAVA: LÍMITE DE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monto total de facturas cedidas en cualquier momento no podrá exceder de Q[MONTO].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FACTORING CON RECURSO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cesión es CON RECURSO: si el deudor no paga, EL CLIENTE responderá por el saldo dentro de los [#] días siguientes al vencimiento.</w:t>
      </w:r>
    </w:p>
    <w:p>
      <w:pPr>
        <w:jc w:val="left"/>
      </w:pPr>
      <w:r>
        <w:rPr>
          <w:b/>
          <w:color w:val="2E4E7C"/>
          <w:sz w:val="22"/>
        </w:rPr>
        <w:t>[OPCIONAL] LÍNEA REVOLVENTE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FACTOR otorga al CLIENTE una línea revolvente hasta de Q[MONTO], con disponibilidad renovable al cobro de las facturas.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FACTOR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 / CEDENTE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cesión de créditos (Código Civil Arts. 1443 y ss.) + contrato atípico mercantil. Recientemente la Ley de Garantías Mobiliarias (Decreto 51-2007) permite publicidad de cesiones en el Registro de Garantías Mobiliarias.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FACTOR es entidad bancaria/financiera, aplica Ley de Bancos y supervisión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Causa IVA sobre la comisión de factoraje (12%) e ISR según régimen.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Anti-lavado: cuidar reportes UAF para operaciones &gt; umbral.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Decreto 20-2018 — facturas electrónicas FEL — para mecanismos de cesión digital.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[FACTOR]</w:t>
            </w:r>
          </w:p>
        </w:tc>
        <w:tc>
          <w:tcPr>
            <w:tcW w:type="dxa" w:w="4703"/>
          </w:tcPr>
          <w:p>
            <w:r>
              <w:t>Entidad que adquiere las cuentas por cobrar.</w:t>
            </w:r>
          </w:p>
        </w:tc>
      </w:tr>
      <w:tr>
        <w:tc>
          <w:tcPr>
            <w:tcW w:type="dxa" w:w="4703"/>
          </w:tcPr>
          <w:p>
            <w:r>
              <w:t>[RESERVA]</w:t>
            </w:r>
          </w:p>
        </w:tc>
        <w:tc>
          <w:tcPr>
            <w:tcW w:type="dxa" w:w="4703"/>
          </w:tcPr>
          <w:p>
            <w:r>
              <w:t>Porcentaje retenido como garantía hasta el cobro.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Estados financieros del cliente</w:t>
      </w:r>
    </w:p>
    <w:p>
      <w:r>
        <w:rPr>
          <w:rFonts w:ascii="Calibri" w:hAnsi="Calibri"/>
          <w:b w:val="0"/>
          <w:i w:val="0"/>
          <w:sz w:val="21"/>
        </w:rPr>
        <w:t>☐  Listado y análisis crediticio de deudores propuestos</w:t>
      </w:r>
    </w:p>
    <w:p>
      <w:r>
        <w:rPr>
          <w:rFonts w:ascii="Calibri" w:hAnsi="Calibri"/>
          <w:b w:val="0"/>
          <w:i w:val="0"/>
          <w:sz w:val="21"/>
        </w:rPr>
        <w:t>☐  Facturas originales / FEL</w:t>
      </w:r>
    </w:p>
    <w:p>
      <w:r>
        <w:rPr>
          <w:rFonts w:ascii="Calibri" w:hAnsi="Calibri"/>
          <w:b w:val="0"/>
          <w:i w:val="0"/>
          <w:sz w:val="21"/>
        </w:rPr>
        <w:t>☐  Documentación de soporte (orden de compra, conformidad de entrega)</w:t>
      </w:r>
    </w:p>
    <w:p>
      <w:r>
        <w:rPr>
          <w:rFonts w:ascii="Calibri" w:hAnsi="Calibri"/>
          <w:b w:val="0"/>
          <w:i w:val="0"/>
          <w:sz w:val="21"/>
        </w:rPr>
        <w:t>☐  Notificación notarial al deudor</w:t>
      </w:r>
    </w:p>
    <w:p>
      <w:r>
        <w:rPr>
          <w:rFonts w:ascii="Calibri" w:hAnsi="Calibri"/>
          <w:b w:val="0"/>
          <w:i w:val="0"/>
          <w:sz w:val="21"/>
        </w:rPr>
        <w:t>☐  Inscripción en Registro de Garantías Mobiliarias</w:t>
      </w:r>
    </w:p>
    <w:p>
      <w:r>
        <w:rPr>
          <w:rFonts w:ascii="Calibri" w:hAnsi="Calibri"/>
          <w:b w:val="0"/>
          <w:i w:val="0"/>
          <w:sz w:val="21"/>
        </w:rPr>
        <w:t>☐  Cuenta bancaria para pagos del deudor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