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HOSPEDAJE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866-873) y Ley Orgánica del INGUAT (Decreto 1701)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[NOMBRE_HOTEL], establecimiento de hospedaje categoría [CATEGORIA] inscrito en el Registro de Establecimientos Turísticos del INGUAT bajo el número [REG_INGUAT], con domicilio en [DIRECCION], NIT [NIT], representado por [REPRESENTANTE] en calidad de [CARGO], en lo sucesivo el "HOTEL" o "HOSPEDANTE".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[NOMBRE_HUESPED], de nacionalidad [NACIONALIDAD], identificado con [DPI/Pasaporte] número [DOC_HUESPED], con domicilio en [DIRECCION_HUESPED], en lo sucesivo el "HUÉSPED".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HOTEL es un establecimiento de hospedaje autorizado por el INGUAT y opera conforme a la legislación turística vigente.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HUÉSPED requiere alojamiento temporal y servicios complementarios.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formalizan un contrato de hospedaje conforme a los Arts. 866-873 del Código de Comercio.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HOTEL pone a disposición del HUÉSPED la habitación tipo [TIPO_HABITACION] número [NUM_HABITACION] con los servicios complementarios incluidos: [LISTADO_SERVICIOS].</w:t>
      </w:r>
    </w:p>
    <w:p>
      <w:pPr>
        <w:jc w:val="left"/>
      </w:pPr>
      <w:r>
        <w:rPr>
          <w:b/>
          <w:color w:val="2E4E7C"/>
          <w:sz w:val="22"/>
        </w:rPr>
        <w:t>SEGUNDA: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Desde [FECHA_CHECK_IN] (check-in [HORA]) hasta [FECHA_CHECK_OUT] (check-out [HORA]). Extensión sujeta a disponibilidad y aceptación.</w:t>
      </w:r>
    </w:p>
    <w:p>
      <w:pPr>
        <w:jc w:val="left"/>
      </w:pPr>
      <w:r>
        <w:rPr>
          <w:b/>
          <w:color w:val="2E4E7C"/>
          <w:sz w:val="22"/>
        </w:rPr>
        <w:t>TERCERA: TARIFA Y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[TARIFA] Quetzales diarios más IVA, INGUAT (10%) y demás impuestos. Forma de pago: [tarjeta/efectivo/transferencia], [al ingreso/al egreso]. El HOTEL puede solicitar pre-autorización para garantizar consumos.</w:t>
      </w:r>
    </w:p>
    <w:p>
      <w:pPr>
        <w:jc w:val="left"/>
      </w:pPr>
      <w:r>
        <w:rPr>
          <w:b/>
          <w:color w:val="2E4E7C"/>
          <w:sz w:val="22"/>
        </w:rPr>
        <w:t>CUARTA: SERVICIOS INCLUIDOS Y ADICIONALES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Incluidos: [DESAYUNO/WIFI/PARKING/AMENIDADES]. Adicionales: lavandería, restaurante, bar, room-service, llamadas, mini-bar — se cargan a la cuenta del HUÉSPED.</w:t>
      </w:r>
    </w:p>
    <w:p>
      <w:pPr>
        <w:jc w:val="left"/>
      </w:pPr>
      <w:r>
        <w:rPr>
          <w:b/>
          <w:color w:val="2E4E7C"/>
          <w:sz w:val="22"/>
        </w:rPr>
        <w:t>QUINTA: OBLIGACIONES DEL HOTEL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Habitación en condiciones de habitabilidad, limpieza y seguridad; (b) prestar los servicios contratados; (c) custodiar el equipaje dentro del hotel; (d) operar caja de seguridad; (e) emitir factura; (f) garantizar privacidad.</w:t>
      </w:r>
    </w:p>
    <w:p>
      <w:pPr>
        <w:jc w:val="left"/>
      </w:pPr>
      <w:r>
        <w:rPr>
          <w:b/>
          <w:color w:val="2E4E7C"/>
          <w:sz w:val="22"/>
        </w:rPr>
        <w:t>SEXTA: OBLIGACIONES DEL HUÉSPED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Pagar tarifa y consumos; (b) usar instalaciones diligentemente; (c) respetar el Reglamento Interno; (d) declarar objetos de alto valor; (e) no realizar actividades ilícitas; (f) responder por daños.</w:t>
      </w:r>
    </w:p>
    <w:p>
      <w:pPr>
        <w:jc w:val="left"/>
      </w:pPr>
      <w:r>
        <w:rPr>
          <w:b/>
          <w:color w:val="2E4E7C"/>
          <w:sz w:val="22"/>
        </w:rPr>
        <w:t>SÉPTIMA: RESPONSABILIDAD POR EQUIPAJE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HOTEL responde por el equipaje hasta [MONTO_TOPE]. Para objetos de valor (joyas, dinero, documentos, equipos electrónicos costosos), el HUÉSPED deberá declararlos y depositarlos en caja de seguridad; de lo contrario, el HOTEL no responde por su pérdida (Art. 870 C.Com).</w:t>
      </w:r>
    </w:p>
    <w:p>
      <w:pPr>
        <w:jc w:val="left"/>
      </w:pPr>
      <w:r>
        <w:rPr>
          <w:b/>
          <w:color w:val="2E4E7C"/>
          <w:sz w:val="22"/>
        </w:rPr>
        <w:t>OCTAVA: PRIVILEGIO DEL HOSPEDANTE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HOTEL tiene privilegio sobre el equipaje del HUÉSPED para el cobro de tarifa y consumos (Art. 872 C.Com).</w:t>
      </w:r>
    </w:p>
    <w:p>
      <w:pPr>
        <w:jc w:val="left"/>
      </w:pPr>
      <w:r>
        <w:rPr>
          <w:b/>
          <w:color w:val="2E4E7C"/>
          <w:sz w:val="22"/>
        </w:rPr>
        <w:t>NOVENA: CANCELACIÓN Y NO-SHOW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Cancelaciones con menos de [48] horas: [50%] de la primera noche. No-show: [100%] de la primera noche.</w:t>
      </w:r>
    </w:p>
    <w:p>
      <w:pPr>
        <w:jc w:val="left"/>
      </w:pPr>
      <w:r>
        <w:rPr>
          <w:b/>
          <w:color w:val="2E4E7C"/>
          <w:sz w:val="22"/>
        </w:rPr>
        <w:t>DÉCIMA: CHECK-OUT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Desocupación a la hora pactada. Permanencia adicional: cargo del [%]. Antes de salir, liquidar la cuenta y entregar la llave/tarjeta.</w:t>
      </w:r>
    </w:p>
    <w:p>
      <w:pPr>
        <w:jc w:val="left"/>
      </w:pPr>
      <w:r>
        <w:rPr>
          <w:b/>
          <w:color w:val="2E4E7C"/>
          <w:sz w:val="22"/>
        </w:rPr>
        <w:t>DÉCIMA PRIMERA: TERMINACIÓN ANTICIPADA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HOTEL podrá terminar y exigir desocupación inmediata por: incumplimiento del Reglamento; falta de pago; conducta que afecte la seguridad o tranquilidad; actividades ilícitas. Sin perjuicio del cobro de los días disfrutados y daños causados.</w:t>
      </w:r>
    </w:p>
    <w:p>
      <w:pPr>
        <w:jc w:val="left"/>
      </w:pPr>
      <w:r>
        <w:rPr>
          <w:b/>
          <w:color w:val="2E4E7C"/>
          <w:sz w:val="22"/>
        </w:rPr>
        <w:t>DÉCIMA SEGUNDA: PROTECCIÓN DE DATOS Y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Datos personales tratados conforme a ley, con fines de prestación, reporte migratorio y conservación legal. Controversias: INGUAT como instancia de mediación y/o tribunales de [CIUDAD].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HOSPEDAJE PROLONGADO O CORPORATIVO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Estadías superiores a [30] días o tarifas corporativas: condiciones del Anexo B (tarifa reducida, facturación mensual, servicios diferenciados).</w:t>
      </w:r>
    </w:p>
    <w:p>
      <w:pPr>
        <w:jc w:val="left"/>
      </w:pPr>
      <w:r>
        <w:rPr>
          <w:b/>
          <w:color w:val="2E4E7C"/>
          <w:sz w:val="22"/>
        </w:rPr>
        <w:t>[OPCIONAL] EVENTOS Y SALONES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Contrata salón [NOMBRE_SALON] para [TIPO_EVENTO] el [FECHA]; capacidad y servicios en Anexo C.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[REPRESENTANTE_HOTEL]</w:t>
        <w:br/>
        <w:t>Por: [NOMBRE_HOTEL]</w:t>
        <w:br/>
        <w:t>Sello del Hotel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[NOMBRE_HUESPED]</w:t>
        <w:br/>
        <w:t>HUÉSPED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2-70), Arts. 866-873: contrato de hospedaje.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870 C.Com: responsabilidad limitada por objetos de valor no declarados.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872 C.Com: privilegio del hospedante sobre el equipaje.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Orgánica del INGUAT (Dto. 1701) y reglamento: impuesto de hospedaje del 10% trasladable al huésped.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IVA (Dto. 27-92): facturación del servicio.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Protección al Consumidor y Usuario (Dto. 6-2003): trato no discriminatorio, transparencia, no cláusulas abusivas.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Migración: registro de huéspedes extranjeros y reporte a Migración.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Normativa sanitaria del MSPAS y bomberos aplicable.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[TARIFA]</w:t>
            </w:r>
          </w:p>
        </w:tc>
        <w:tc>
          <w:tcPr>
            <w:tcW w:type="dxa" w:w="4703"/>
          </w:tcPr>
          <w:p>
            <w:r>
              <w:t>Tarifa diaria del hospedaje</w:t>
            </w:r>
          </w:p>
        </w:tc>
      </w:tr>
      <w:tr>
        <w:tc>
          <w:tcPr>
            <w:tcW w:type="dxa" w:w="4703"/>
          </w:tcPr>
          <w:p>
            <w:r>
              <w:t>[TIPO_HABITACION]</w:t>
            </w:r>
          </w:p>
        </w:tc>
        <w:tc>
          <w:tcPr>
            <w:tcW w:type="dxa" w:w="4703"/>
          </w:tcPr>
          <w:p>
            <w:r>
              <w:t>Categoría y características de la habitación</w:t>
            </w:r>
          </w:p>
        </w:tc>
      </w:tr>
      <w:tr>
        <w:tc>
          <w:tcPr>
            <w:tcW w:type="dxa" w:w="4703"/>
          </w:tcPr>
          <w:p>
            <w:r>
              <w:t>[MONTO_TOPE]</w:t>
            </w:r>
          </w:p>
        </w:tc>
        <w:tc>
          <w:tcPr>
            <w:tcW w:type="dxa" w:w="4703"/>
          </w:tcPr>
          <w:p>
            <w:r>
              <w:t>Límite de responsabilidad por equipaje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Inscripción vigente en el Registro de Establecimientos Turísticos del INGUAT</w:t>
      </w:r>
    </w:p>
    <w:p>
      <w:r>
        <w:rPr>
          <w:rFonts w:ascii="Calibri" w:hAnsi="Calibri"/>
          <w:b w:val="0"/>
          <w:i w:val="0"/>
          <w:sz w:val="21"/>
        </w:rPr>
        <w:t>☐  Licencias municipales y de bomberos</w:t>
      </w:r>
    </w:p>
    <w:p>
      <w:r>
        <w:rPr>
          <w:rFonts w:ascii="Calibri" w:hAnsi="Calibri"/>
          <w:b w:val="0"/>
          <w:i w:val="0"/>
          <w:sz w:val="21"/>
        </w:rPr>
        <w:t>☐  Permiso sanitario del MSPAS</w:t>
      </w:r>
    </w:p>
    <w:p>
      <w:r>
        <w:rPr>
          <w:rFonts w:ascii="Calibri" w:hAnsi="Calibri"/>
          <w:b w:val="0"/>
          <w:i w:val="0"/>
          <w:sz w:val="21"/>
        </w:rPr>
        <w:t>☐  Reglamento Interno visible y entregado</w:t>
      </w:r>
    </w:p>
    <w:p>
      <w:r>
        <w:rPr>
          <w:rFonts w:ascii="Calibri" w:hAnsi="Calibri"/>
          <w:b w:val="0"/>
          <w:i w:val="0"/>
          <w:sz w:val="21"/>
        </w:rPr>
        <w:t>☐  Tarifario publicado en GTQ y USD</w:t>
      </w:r>
    </w:p>
    <w:p>
      <w:r>
        <w:rPr>
          <w:rFonts w:ascii="Calibri" w:hAnsi="Calibri"/>
          <w:b w:val="0"/>
          <w:i w:val="0"/>
          <w:sz w:val="21"/>
        </w:rPr>
        <w:t>☐  Pólizas de RC</w:t>
      </w:r>
    </w:p>
    <w:p>
      <w:r>
        <w:rPr>
          <w:rFonts w:ascii="Calibri" w:hAnsi="Calibri"/>
          <w:b w:val="0"/>
          <w:i w:val="0"/>
          <w:sz w:val="21"/>
        </w:rPr>
        <w:t>☐  Sistema de registro migratorio</w:t>
      </w:r>
    </w:p>
    <w:p>
      <w:r>
        <w:rPr>
          <w:rFonts w:ascii="Calibri" w:hAnsi="Calibri"/>
          <w:b w:val="0"/>
          <w:i w:val="0"/>
          <w:sz w:val="21"/>
        </w:rPr>
        <w:t>☐  Caja de seguridad funcional</w:t>
      </w:r>
    </w:p>
    <w:p>
      <w:r>
        <w:rPr>
          <w:rFonts w:ascii="Calibri" w:hAnsi="Calibri"/>
          <w:b w:val="0"/>
          <w:i w:val="0"/>
          <w:sz w:val="21"/>
        </w:rPr>
        <w:t>☐  Formato de factura conforme al régimen tributario</w:t>
      </w:r>
    </w:p>
    <w:p>
      <w:r>
        <w:rPr>
          <w:rFonts w:ascii="Calibri" w:hAnsi="Calibri"/>
          <w:b w:val="0"/>
          <w:i w:val="0"/>
          <w:sz w:val="21"/>
        </w:rPr>
        <w:t>☐  Política de cancelación clara y comunicada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