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TARJETA DE CRÉDITO (TITULAR-EMISOR)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la Ley de Tarjeta de Crédito (Decreto 7-2015), Ley de Bancos y Grupos Financieros (Decreto 19-2002) y Código de Comercio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PARTE: [NOMBRE_EMISOR], institución [bancaria/financiera] autorizada para operar en Guatemala, supervisada por la Superintendencia de Bancos, con domicilio en [DIRECCION_EMISOR], inscrita en el Registro Mercantil al Número [REG_EMISOR], NIT [NIT_EMISOR], representada por [REPRESENTANTE_EMISOR] en calidad de [CARGO_EMISOR], en lo sucesivo el "EMISOR".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LA OTRA PARTE: [NOMBRE_TITULAR], de nacionalidad [NACIONALIDAD], [EDAD] años, [ESTADO_CIVIL], [PROFESION], con domicilio en [DIRECCION_TITULAR], identificado con DPI [CUI_TITULAR] del RENAP, NIT [NIT_TITULAR], en lo sucesivo el "TITULAR".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el EMISOR se encuentra autorizado para emitir tarjetas de crédito y opera bajo la supervisión de la Superintendencia de Bancos.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el TITULAR ha solicitado la emisión de una tarjeta de crédito y, evaluado su perfil crediticio, ha sido aprobada su solicitud.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III. Que las partes acuerdan regular sus relaciones conforme a la Ley de Tarjeta de Crédito (Dto. 7-2015), la Ley de Bancos y Grupos Financieros y demás normativa aplicable.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EMISOR otorga al TITULAR el derecho de uso de una tarjeta de crédito "[MARCA_TARJETA]" hasta por [LIMITE] Quetzales para adquirir bienes y servicios en establecimientos afiliados y obtener desembolsos en efectivo. El TITULAR pagará las sumas dispuestas, intereses, comisiones, gastos e impuestos.</w:t>
      </w:r>
    </w:p>
    <w:p>
      <w:pPr>
        <w:jc w:val="left"/>
      </w:pPr>
      <w:r>
        <w:rPr>
          <w:b/>
          <w:color w:val="2E4E7C"/>
          <w:sz w:val="22"/>
        </w:rPr>
        <w:t>SEGUNDA: LÍMITE DE CRÉDITO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límite es de [LIMITE] Quetzales, modificable previa aprobación del EMISOR. El TITULAR no podrá exceder dicho límite sin autorización expresa.</w:t>
      </w:r>
    </w:p>
    <w:p>
      <w:pPr>
        <w:jc w:val="left"/>
      </w:pPr>
      <w:r>
        <w:rPr>
          <w:b/>
          <w:color w:val="2E4E7C"/>
          <w:sz w:val="22"/>
        </w:rPr>
        <w:t>TERCERA: TASA DE INTERÉS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tasa aplicable a saldos financiados será de [TASA]% anual, sin exceder el tope máximo establecido por la SIB conforme a la Ley de Tarjeta de Crédito (Dto. 7-2015), que limita la tasa al doble del promedio ponderado de la tasa activa del sistema bancario. Los intereses se calculan sobre saldos diarios y se aplican únicamente sobre montos no pagados al vencimiento del estado de cuenta.</w:t>
      </w:r>
    </w:p>
    <w:p>
      <w:pPr>
        <w:jc w:val="left"/>
      </w:pPr>
      <w:r>
        <w:rPr>
          <w:b/>
          <w:color w:val="2E4E7C"/>
          <w:sz w:val="22"/>
        </w:rPr>
        <w:t>CUARTA: INTERESES MORATORIOS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En caso de mora se aplicará un recargo equivalente al [25%] adicional sobre la tasa pactada, respetando el límite legal.</w:t>
      </w:r>
    </w:p>
    <w:p>
      <w:pPr>
        <w:jc w:val="left"/>
      </w:pPr>
      <w:r>
        <w:rPr>
          <w:b/>
          <w:color w:val="2E4E7C"/>
          <w:sz w:val="22"/>
        </w:rPr>
        <w:t>QUINTA: COMISIONES Y CARGOS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Comisiones autorizadas: (a) cuota anual [MONTO_CUOTA]; (b) avance en efectivo [%]; (c) reposición de plástico [MONTO]; (d) consultas en cajero ajeno [MONTO]. No se cobrarán comisiones por consultas en cajeros propios, por cancelación anticipada ni cargos abusivos prohibidos por la Ley de Tarjeta de Crédito.</w:t>
      </w:r>
    </w:p>
    <w:p>
      <w:pPr>
        <w:jc w:val="left"/>
      </w:pPr>
      <w:r>
        <w:rPr>
          <w:b/>
          <w:color w:val="2E4E7C"/>
          <w:sz w:val="22"/>
        </w:rPr>
        <w:t>SEXTA: ESTADO DE CUENTA Y PAGO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EMISOR remitirá mensualmente estado de cuenta con consumos, abonos, intereses, comisiones, fecha de corte, fecha de pago, pago mínimo y pago total. El TITULAR tendrá [20] días hábiles para objetarlo (Art. 12 Dto. 7-2015). La falta de objeción no impide reclamar errores aritméticos o cargos no autorizados.</w:t>
      </w:r>
    </w:p>
    <w:p>
      <w:pPr>
        <w:jc w:val="left"/>
      </w:pPr>
      <w:r>
        <w:rPr>
          <w:b/>
          <w:color w:val="2E4E7C"/>
          <w:sz w:val="22"/>
        </w:rPr>
        <w:t>SÉPTIMA: PAGOS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TITULAR pagará al menos el pago mínimo en la fecha indicada. El pago total cancela los saldos sin generar intereses. Los pagos se aplican en el orden: intereses moratorios, comisiones, intereses corrientes, capital.</w:t>
      </w:r>
    </w:p>
    <w:p>
      <w:pPr>
        <w:jc w:val="left"/>
      </w:pPr>
      <w:r>
        <w:rPr>
          <w:b/>
          <w:color w:val="2E4E7C"/>
          <w:sz w:val="22"/>
        </w:rPr>
        <w:t>OCTAVA: USO DE LA TARJETA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tarjeta es intransferible. El TITULAR responde de su custodia y debe notificar pérdida, robo o uso no autorizado dentro de [2] horas del conocimiento del hecho. Tras el aviso queda exento de responsabilidad por consumos posteriores.</w:t>
      </w:r>
    </w:p>
    <w:p>
      <w:pPr>
        <w:jc w:val="left"/>
      </w:pPr>
      <w:r>
        <w:rPr>
          <w:b/>
          <w:color w:val="2E4E7C"/>
          <w:sz w:val="22"/>
        </w:rPr>
        <w:t>NOVENA: PROHIBICIONES Y CLÁUSULAS ABUSIVAS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al Dto. 7-2015 se PROHÍBE: (a) anatocismo salvo capitalización conforme a ley; (b) cláusulas que renuncien a derechos del consumidor; (c) cobros sin autorización; (d) modificaciones unilaterales en perjuicio del TITULAR sin notificación previa de [60] días; (e) cobro de seguros no solicitados; (f) cláusulas penales abusivas.</w:t>
      </w:r>
    </w:p>
    <w:p>
      <w:pPr>
        <w:jc w:val="left"/>
      </w:pPr>
      <w:r>
        <w:rPr>
          <w:b/>
          <w:color w:val="2E4E7C"/>
          <w:sz w:val="22"/>
        </w:rPr>
        <w:t>DÉCIMA: TARJETAS ADICIONALES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 solicitud del TITULAR el EMISOR podrá emitir tarjetas adicionales. El TITULAR responde solidariamente de los consumos de dichas tarjetas.</w:t>
      </w:r>
    </w:p>
    <w:p>
      <w:pPr>
        <w:jc w:val="left"/>
      </w:pPr>
      <w:r>
        <w:rPr>
          <w:b/>
          <w:color w:val="2E4E7C"/>
          <w:sz w:val="22"/>
        </w:rPr>
        <w:t>DÉCIMA PRIMERA: TERMINACIÓN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Por: (a) decisión del TITULAR; (b) decisión del EMISOR con [60] días de anticipación; (c) incumplimiento; (d) muerte o incapacidad del TITULAR; (e) insolvencia. El TITULAR puede cancelar la tarjeta en cualquier momento sin penalidad.</w:t>
      </w:r>
    </w:p>
    <w:p>
      <w:pPr>
        <w:jc w:val="left"/>
      </w:pPr>
      <w:r>
        <w:rPr>
          <w:b/>
          <w:color w:val="2E4E7C"/>
          <w:sz w:val="22"/>
        </w:rPr>
        <w:t>DÉCIMA SEGUNDA: PROTECCIÓN DE DATOS Y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datos personales se tratarán conforme a ley y al secreto bancario (Art. 63 Ley de Bancos). Controversias: (a) reclamación ante EMISOR; (b) Superintendencia de Bancos; (c) arbitraje CENAC o tribunales de [CIUDAD] a elección del TITULAR.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PROGRAMA DE LEALTAD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TITULAR podrá acumular puntos/millas conforme al Programa [NOMBRE] (Anexo). Sin costo adicional.</w:t>
      </w:r>
    </w:p>
    <w:p>
      <w:pPr>
        <w:jc w:val="left"/>
      </w:pPr>
      <w:r>
        <w:rPr>
          <w:b/>
          <w:color w:val="2E4E7C"/>
          <w:sz w:val="22"/>
        </w:rPr>
        <w:t>[OPCIONAL] SEGURO DE PROTECCIÓN DE COMPRAS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Seguro opcional por [PRIMA] mensual, contratado a solicitud expresa y escrita del TITULAR, cancelable en cualquier momento.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Las partes, leído el presente contrato y enteradas de su contenido, objeto, validez y efectos legales, lo aceptan, ratifican y firman en dos ejemplares de un mismo tenor en la ciudad de [CIUDAD], República de Guatemala, el día [DIA] de [MES] de [AÑO].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</w:t>
        <w:br/>
        <w:t>[REPRESENTANTE_EMISOR]</w:t>
        <w:br/>
        <w:t>Por: [NOMBRE_EMISOR]</w:t>
        <w:br/>
        <w:t>Sello</w:t>
      </w:r>
    </w:p>
    <w:p>
      <w:r>
        <w:rPr>
          <w:rFonts w:ascii="Calibri" w:hAnsi="Calibri"/>
          <w:b w:val="0"/>
          <w:i w:val="0"/>
          <w:sz w:val="22"/>
        </w:rPr>
        <w:t>_______________________________</w:t>
        <w:br/>
        <w:t>[NOMBRE_TITULAR]</w:t>
        <w:br/>
        <w:t>TITULAR de la Tarjeta</w:t>
      </w:r>
    </w:p>
    <w:p>
      <w:r>
        <w:rPr>
          <w:rFonts w:ascii="Calibri" w:hAnsi="Calibri"/>
          <w:b w:val="0"/>
          <w:i w:val="0"/>
          <w:sz w:val="22"/>
        </w:rPr>
        <w:t>_______________________________</w:t>
        <w:br/>
        <w:t>[NOMBRE_CODEUDOR si aplica]</w:t>
        <w:br/>
        <w:t>Codeudor solidario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de Tarjeta de Crédito (Dto. 7-2015): tasa máxima (doble del promedio ponderado activa del sistema bancario); prohibición de cláusulas abusivas.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Reglamento de la Ley de Tarjeta de Crédito.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de Bancos y Grupos Financieros (Dto. 19-2002): supervisión SIB; secreto bancario Art. 63.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Código de Comercio (Dto. 2-70): aplicación supletoria.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contra el Lavado de Dinero (Dto. 67-2001) y normativa IVE: KYC.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de Protección al Consumidor y Usuario (Dto. 6-2003): cláusulas abusivas.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Art. 12 Dto. 7-2015: impugnación del estado de cuenta en 20 días hábiles.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Art. 21 Dto. 7-2015: prohibición de modificación unilateral en perjuicio del TITULAR sin aviso previo.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[LIMITE]</w:t>
            </w:r>
          </w:p>
        </w:tc>
        <w:tc>
          <w:tcPr>
            <w:tcW w:type="dxa" w:w="4703"/>
          </w:tcPr>
          <w:p>
            <w:r>
              <w:t>Límite de crédito en Quetzales</w:t>
            </w:r>
          </w:p>
        </w:tc>
      </w:tr>
      <w:tr>
        <w:tc>
          <w:tcPr>
            <w:tcW w:type="dxa" w:w="4703"/>
          </w:tcPr>
          <w:p>
            <w:r>
              <w:t>[TASA]</w:t>
            </w:r>
          </w:p>
        </w:tc>
        <w:tc>
          <w:tcPr>
            <w:tcW w:type="dxa" w:w="4703"/>
          </w:tcPr>
          <w:p>
            <w:r>
              <w:t>Tasa de interés anual aplicable (no superior al tope SIB)</w:t>
            </w:r>
          </w:p>
        </w:tc>
      </w:tr>
      <w:tr>
        <w:tc>
          <w:tcPr>
            <w:tcW w:type="dxa" w:w="4703"/>
          </w:tcPr>
          <w:p>
            <w:r>
              <w:t>[MONTO_CUOTA]</w:t>
            </w:r>
          </w:p>
        </w:tc>
        <w:tc>
          <w:tcPr>
            <w:tcW w:type="dxa" w:w="4703"/>
          </w:tcPr>
          <w:p>
            <w:r>
              <w:t>Cuota anual de membresía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Solicitud firmada y formulario IVE KYC</w:t>
      </w:r>
    </w:p>
    <w:p>
      <w:r>
        <w:rPr>
          <w:rFonts w:ascii="Calibri" w:hAnsi="Calibri"/>
          <w:b w:val="0"/>
          <w:i w:val="0"/>
          <w:sz w:val="21"/>
        </w:rPr>
        <w:t>☐  Copia de DPI vigente y NIT</w:t>
      </w:r>
    </w:p>
    <w:p>
      <w:r>
        <w:rPr>
          <w:rFonts w:ascii="Calibri" w:hAnsi="Calibri"/>
          <w:b w:val="0"/>
          <w:i w:val="0"/>
          <w:sz w:val="21"/>
        </w:rPr>
        <w:t>☐  Constancia de ingresos (planilla, recibos, declaraciones de ISR)</w:t>
      </w:r>
    </w:p>
    <w:p>
      <w:r>
        <w:rPr>
          <w:rFonts w:ascii="Calibri" w:hAnsi="Calibri"/>
          <w:b w:val="0"/>
          <w:i w:val="0"/>
          <w:sz w:val="21"/>
        </w:rPr>
        <w:t>☐  Referencias crediticias</w:t>
      </w:r>
    </w:p>
    <w:p>
      <w:r>
        <w:rPr>
          <w:rFonts w:ascii="Calibri" w:hAnsi="Calibri"/>
          <w:b w:val="0"/>
          <w:i w:val="0"/>
          <w:sz w:val="21"/>
        </w:rPr>
        <w:t>☐  Análisis de capacidad de pago</w:t>
      </w:r>
    </w:p>
    <w:p>
      <w:r>
        <w:rPr>
          <w:rFonts w:ascii="Calibri" w:hAnsi="Calibri"/>
          <w:b w:val="0"/>
          <w:i w:val="0"/>
          <w:sz w:val="21"/>
        </w:rPr>
        <w:t>☐  Resolución de aprobación de crédito</w:t>
      </w:r>
    </w:p>
    <w:p>
      <w:r>
        <w:rPr>
          <w:rFonts w:ascii="Calibri" w:hAnsi="Calibri"/>
          <w:b w:val="0"/>
          <w:i w:val="0"/>
          <w:sz w:val="21"/>
        </w:rPr>
        <w:t>☐  Tabla de comisiones y tasas vigentes (anexo)</w:t>
      </w:r>
    </w:p>
    <w:p>
      <w:r>
        <w:rPr>
          <w:rFonts w:ascii="Calibri" w:hAnsi="Calibri"/>
          <w:b w:val="0"/>
          <w:i w:val="0"/>
          <w:sz w:val="21"/>
        </w:rPr>
        <w:t>☐  Cartilla de derechos del tarjetahabiente (entrega obligatoria)</w:t>
      </w:r>
    </w:p>
    <w:p>
      <w:r>
        <w:rPr>
          <w:rFonts w:ascii="Calibri" w:hAnsi="Calibri"/>
          <w:b w:val="0"/>
          <w:i w:val="0"/>
          <w:sz w:val="21"/>
        </w:rPr>
        <w:t>☐  Aceptación expresa de tratamiento de datos personales</w:t>
      </w:r>
    </w:p>
    <w:p>
      <w:r>
        <w:rPr>
          <w:rFonts w:ascii="Calibri" w:hAnsi="Calibri"/>
          <w:b w:val="0"/>
          <w:i w:val="0"/>
          <w:sz w:val="21"/>
        </w:rPr>
        <w:t>☐  Tarjetas adicionales solicitadas, si aplica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