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PATROCINIO MIGRATORIO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Migración (Decreto 44-2016)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PATROCINADOR'.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EXTRANJERO'.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Patrocinio para tramitar residencia o visa de un extranjero.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PATROCINADOR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[Persona / empresa] residente en Guatemala.</w:t>
      </w:r>
    </w:p>
    <w:p>
      <w:pPr>
        <w:jc w:val="left"/>
      </w:pPr>
      <w:r>
        <w:rPr>
          <w:b/>
          <w:color w:val="2E4E7C"/>
          <w:sz w:val="22"/>
        </w:rPr>
        <w:t>SEGUNDA: EXTRANJERO PATROCINADO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[Nombre, nacionalidad, propósito de estancia]</w:t>
      </w:r>
    </w:p>
    <w:p>
      <w:pPr>
        <w:jc w:val="left"/>
      </w:pPr>
      <w:r>
        <w:rPr>
          <w:b/>
          <w:color w:val="2E4E7C"/>
          <w:sz w:val="22"/>
        </w:rPr>
        <w:t>TERCERA: OBLIGACIONES DEL PATROCINADOR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Garantizar manutención del extranjero; (b) responsabilidad económica si extranjero no puede sostenerse; (c) facilitar trámites; (d) comunicar a migración cambios.</w:t>
      </w:r>
    </w:p>
    <w:p>
      <w:pPr>
        <w:jc w:val="left"/>
      </w:pPr>
      <w:r>
        <w:rPr>
          <w:b/>
          <w:color w:val="2E4E7C"/>
          <w:sz w:val="22"/>
        </w:rPr>
        <w:t>CUARTA: OBLIGACIONES DEL EXTRANJERO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Cumplir leyes de Guatemala; no participar en actividades ilícitas; mantener al patrocinador informado.</w:t>
      </w:r>
    </w:p>
    <w:p>
      <w:pPr>
        <w:jc w:val="left"/>
      </w:pPr>
      <w:r>
        <w:rPr>
          <w:b/>
          <w:color w:val="2E4E7C"/>
          <w:sz w:val="22"/>
        </w:rPr>
        <w:t>QUINTA: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Mientras dure la calidad migratoria patrocinada.</w:t>
      </w:r>
    </w:p>
    <w:p>
      <w:pPr>
        <w:jc w:val="left"/>
      </w:pPr>
      <w:r>
        <w:rPr>
          <w:b/>
          <w:color w:val="2E4E7C"/>
          <w:sz w:val="22"/>
        </w:rPr>
        <w:t>SEXTA: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Patrocinador solidario por costos de salida si extranjero deportado.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PATROCINIO LABORAL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Empleador patrocina trabajador.</w:t>
      </w:r>
    </w:p>
    <w:p>
      <w:pPr>
        <w:jc w:val="left"/>
      </w:pPr>
      <w:r>
        <w:rPr>
          <w:b/>
          <w:color w:val="2E4E7C"/>
          <w:sz w:val="22"/>
        </w:rPr>
        <w:t>[OPCIONAL] PATROCINIO FAMILIAR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Cónyuge guatemalteco patrocina.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PATROCINADOR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EXTRANJERO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Migración Dto. 44-2016.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Instituto Guatemalteco de Migración (IGM).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Categorías: residente permanente, temporal, visitante.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Patrocinio: requisito para algunas categorías.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Patrocinador puede ser familiar, empleador o institución.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[IGM]</w:t>
            </w:r>
          </w:p>
        </w:tc>
        <w:tc>
          <w:tcPr>
            <w:tcW w:type="dxa" w:w="4703"/>
          </w:tcPr>
          <w:p>
            <w:r>
              <w:t>Instituto Guatemalteco de Migración.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DPI/NIT del patrocinador</w:t>
      </w:r>
    </w:p>
    <w:p>
      <w:r>
        <w:rPr>
          <w:rFonts w:ascii="Calibri" w:hAnsi="Calibri"/>
          <w:b w:val="0"/>
          <w:i w:val="0"/>
          <w:sz w:val="21"/>
        </w:rPr>
        <w:t>☐  Capacidad económica documentada</w:t>
      </w:r>
    </w:p>
    <w:p>
      <w:r>
        <w:rPr>
          <w:rFonts w:ascii="Calibri" w:hAnsi="Calibri"/>
          <w:b w:val="0"/>
          <w:i w:val="0"/>
          <w:sz w:val="21"/>
        </w:rPr>
        <w:t>☐  Documentos del extranjero</w:t>
      </w:r>
    </w:p>
    <w:p>
      <w:r>
        <w:rPr>
          <w:rFonts w:ascii="Calibri" w:hAnsi="Calibri"/>
          <w:b w:val="0"/>
          <w:i w:val="0"/>
          <w:sz w:val="21"/>
        </w:rPr>
        <w:t>☐  Antecedentes</w:t>
      </w:r>
    </w:p>
    <w:p>
      <w:r>
        <w:rPr>
          <w:rFonts w:ascii="Calibri" w:hAnsi="Calibri"/>
          <w:b w:val="0"/>
          <w:i w:val="0"/>
          <w:sz w:val="21"/>
        </w:rPr>
        <w:t>☐  Visa apropiada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