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SOLICITUD Y CONVENIO PARA RESIDENCIA PERMANENTE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Migración Dto. 44-2016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SOLICITANTE EXTRANJERO'.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PATROCINADOR (FAMILIAR/EMPLEADOR)'.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Trámite para residencia permanente.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CALIDAD SOLICITADA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Residente permanente.</w:t>
      </w:r>
    </w:p>
    <w:p>
      <w:pPr>
        <w:jc w:val="left"/>
      </w:pPr>
      <w:r>
        <w:rPr>
          <w:b/>
          <w:color w:val="2E4E7C"/>
          <w:sz w:val="22"/>
        </w:rPr>
        <w:t>SEGUNDA: CAUSAL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[Vínculo familiar con guatemalteco / residencia previa # años / inversión / pensión]</w:t>
      </w:r>
    </w:p>
    <w:p>
      <w:pPr>
        <w:jc w:val="left"/>
      </w:pPr>
      <w:r>
        <w:rPr>
          <w:b/>
          <w:color w:val="2E4E7C"/>
          <w:sz w:val="22"/>
        </w:rPr>
        <w:t>TERCERA: REQUISITOS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Antecedentes; DPI/pasaporte; examen médico; comprobante económico; certificado de no antecedentes.</w:t>
      </w:r>
    </w:p>
    <w:p>
      <w:pPr>
        <w:jc w:val="left"/>
      </w:pPr>
      <w:r>
        <w:rPr>
          <w:b/>
          <w:color w:val="2E4E7C"/>
          <w:sz w:val="22"/>
        </w:rPr>
        <w:t>CUARTA: DERECHOS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Trabajar; estudiar; vivir indefinidamente; reunificación familiar.</w:t>
      </w:r>
    </w:p>
    <w:p>
      <w:pPr>
        <w:jc w:val="left"/>
      </w:pPr>
      <w:r>
        <w:rPr>
          <w:b/>
          <w:color w:val="2E4E7C"/>
          <w:sz w:val="22"/>
        </w:rPr>
        <w:t>QUINTA: OBLIGACIONES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Renovar cédula; reportar cambios; respetar leyes.</w:t>
      </w:r>
    </w:p>
    <w:p>
      <w:pPr>
        <w:jc w:val="left"/>
      </w:pPr>
      <w:r>
        <w:rPr>
          <w:b/>
          <w:color w:val="2E4E7C"/>
          <w:sz w:val="22"/>
        </w:rPr>
        <w:t>SEXTA: DOC DE IDENTIDAD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Cédula de extranjero residente.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REAGRUPACIÓN FAMILIAR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Hijos y cónyuge.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SOLICITANTE EXTRANJERO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PATROCINADOR (FAMILIAR/EMPLEADOR)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Migración.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Residencia permanente: indefinida.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Vía a naturalización.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Categorías: familiar, laboral, inversión, retirado, refugiado.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[CÉDULA DE EXTRANJERO]</w:t>
            </w:r>
          </w:p>
        </w:tc>
        <w:tc>
          <w:tcPr>
            <w:tcW w:type="dxa" w:w="4703"/>
          </w:tcPr>
          <w:p>
            <w:r>
              <w:t>Identificación del residente.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Pasaporte vigente</w:t>
      </w:r>
    </w:p>
    <w:p>
      <w:r>
        <w:rPr>
          <w:rFonts w:ascii="Calibri" w:hAnsi="Calibri"/>
          <w:b w:val="0"/>
          <w:i w:val="0"/>
          <w:sz w:val="21"/>
        </w:rPr>
        <w:t>☐  Antecedentes en origen y GT</w:t>
      </w:r>
    </w:p>
    <w:p>
      <w:r>
        <w:rPr>
          <w:rFonts w:ascii="Calibri" w:hAnsi="Calibri"/>
          <w:b w:val="0"/>
          <w:i w:val="0"/>
          <w:sz w:val="21"/>
        </w:rPr>
        <w:t>☐  Examen médico</w:t>
      </w:r>
    </w:p>
    <w:p>
      <w:r>
        <w:rPr>
          <w:rFonts w:ascii="Calibri" w:hAnsi="Calibri"/>
          <w:b w:val="0"/>
          <w:i w:val="0"/>
          <w:sz w:val="21"/>
        </w:rPr>
        <w:t>☐  Sustento económico</w:t>
      </w:r>
    </w:p>
    <w:p>
      <w:r>
        <w:rPr>
          <w:rFonts w:ascii="Calibri" w:hAnsi="Calibri"/>
          <w:b w:val="0"/>
          <w:i w:val="0"/>
          <w:sz w:val="21"/>
        </w:rPr>
        <w:t>☐  Cédula extranjero</w:t>
      </w:r>
    </w:p>
    <w:p>
      <w:r>
        <w:rPr>
          <w:rFonts w:ascii="Calibri" w:hAnsi="Calibri"/>
          <w:b w:val="0"/>
          <w:i w:val="0"/>
          <w:sz w:val="21"/>
        </w:rPr>
        <w:t>☐  Cumplimiento UAF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