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COMPRAVENTA DE ENERGÍA (PPA)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Ley General de Electricidad (Decreto 93-96) y normas AMM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GENERADOR'.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COMPRADOR (DISTRIBUIDOR O GRAN USUARIO)'.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Venta de energía eléctrica generada por planta a comprador definido.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PLANTA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[Solar/Eólica/Hidro/Térmica/Geotérmica] de [#] MW en [LOCACIÓN].</w:t>
      </w:r>
    </w:p>
    <w:p>
      <w:pPr>
        <w:jc w:val="left"/>
      </w:pPr>
      <w:r>
        <w:rPr>
          <w:b/>
          <w:color w:val="2E4E7C"/>
          <w:sz w:val="22"/>
        </w:rPr>
        <w:t>SEGUNDA: PERÍODO DE COMPROMISO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años desde COD (Commercial Operation Date).</w:t>
      </w:r>
    </w:p>
    <w:p>
      <w:pPr>
        <w:jc w:val="left"/>
      </w:pPr>
      <w:r>
        <w:rPr>
          <w:b/>
          <w:color w:val="2E4E7C"/>
          <w:sz w:val="22"/>
        </w:rPr>
        <w:t>TERCERA: ENERGÍA Y POTENCIA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Energía firme: [#] GWh/año. Potencia: [#] MW.</w:t>
      </w:r>
    </w:p>
    <w:p>
      <w:pPr>
        <w:jc w:val="left"/>
      </w:pPr>
      <w:r>
        <w:rPr>
          <w:b/>
          <w:color w:val="2E4E7C"/>
          <w:sz w:val="22"/>
        </w:rPr>
        <w:t>CUARTA: PRECIO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US$[#]/MWh; mecanismo de actualización [IPC / escalador específico].</w:t>
      </w:r>
    </w:p>
    <w:p>
      <w:pPr>
        <w:jc w:val="left"/>
      </w:pPr>
      <w:r>
        <w:rPr>
          <w:b/>
          <w:color w:val="2E4E7C"/>
          <w:sz w:val="22"/>
        </w:rPr>
        <w:t>QUINTA: DESPACHO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orden de mérito del AMM (Administrador del Mercado Mayorista).</w:t>
      </w:r>
    </w:p>
    <w:p>
      <w:pPr>
        <w:jc w:val="left"/>
      </w:pPr>
      <w:r>
        <w:rPr>
          <w:b/>
          <w:color w:val="2E4E7C"/>
          <w:sz w:val="22"/>
        </w:rPr>
        <w:t>SEXTA: PUNTO DE ENTREGA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Subestación [NOMBRE].</w:t>
      </w:r>
    </w:p>
    <w:p>
      <w:pPr>
        <w:jc w:val="left"/>
      </w:pPr>
      <w:r>
        <w:rPr>
          <w:b/>
          <w:color w:val="2E4E7C"/>
          <w:sz w:val="22"/>
        </w:rPr>
        <w:t>SÉPTIMA: PENALIDADES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no entrega; por entrega excesiva.</w:t>
      </w:r>
    </w:p>
    <w:p>
      <w:pPr>
        <w:jc w:val="left"/>
      </w:pPr>
      <w:r>
        <w:rPr>
          <w:b/>
          <w:color w:val="2E4E7C"/>
          <w:sz w:val="22"/>
        </w:rPr>
        <w:t>OCTAVA: FUERZA MAYOR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Eventos cubiertos; consecuencias.</w:t>
      </w:r>
    </w:p>
    <w:p>
      <w:pPr>
        <w:jc w:val="left"/>
      </w:pPr>
      <w:r>
        <w:rPr>
          <w:b/>
          <w:color w:val="2E4E7C"/>
          <w:sz w:val="22"/>
        </w:rPr>
        <w:t>NOVENA: INDISPONIBILIDAD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Programada y forzada; tolerancias.</w:t>
      </w:r>
    </w:p>
    <w:p>
      <w:pPr>
        <w:jc w:val="left"/>
      </w:pPr>
      <w:r>
        <w:rPr>
          <w:b/>
          <w:color w:val="2E4E7C"/>
          <w:sz w:val="22"/>
        </w:rPr>
        <w:t>DÉCIMA: GARANTÍAS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Performance bond + parent guarantee si aplica.</w:t>
      </w:r>
    </w:p>
    <w:p>
      <w:pPr>
        <w:jc w:val="left"/>
      </w:pPr>
      <w:r>
        <w:rPr>
          <w:b/>
          <w:color w:val="2E4E7C"/>
          <w:sz w:val="22"/>
        </w:rPr>
        <w:t>DÉCIMA PRIMERA: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SEGUNDA: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TERCERA: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CUARTA: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QUINTA: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SEXTA: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SÉPTIMA: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PPA VIRTUAL / FINANCIERO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Sin entrega física, settlement financiero.</w:t>
      </w:r>
    </w:p>
    <w:p>
      <w:pPr>
        <w:jc w:val="left"/>
      </w:pPr>
      <w:r>
        <w:rPr>
          <w:b/>
          <w:color w:val="2E4E7C"/>
          <w:sz w:val="22"/>
        </w:rPr>
        <w:t>[OPCIONAL] MERCHANT POWER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Sin PPA, vendiendo en mercado spot.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GENERADOR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COMPRADOR (DISTRIBUIDOR O GRAN USUARIO)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Sector regulado: Comisión Nacional de Energía Eléctrica (CNEE).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Mercado Mayorista de Electricidad administrado por AMM.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PPAs son típicamente de largo plazo (15-20 años) para financiar inversión.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EIA y Licencia Ambiental.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Consulta indígena para hidroeléctricas grandes.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Acceso a transmisión: open access regulado.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[COD]</w:t>
            </w:r>
          </w:p>
        </w:tc>
        <w:tc>
          <w:tcPr>
            <w:tcW w:type="dxa" w:w="4703"/>
          </w:tcPr>
          <w:p>
            <w:r>
              <w:t>Commercial Operation Date.</w:t>
            </w:r>
          </w:p>
        </w:tc>
      </w:tr>
      <w:tr>
        <w:tc>
          <w:tcPr>
            <w:tcW w:type="dxa" w:w="4703"/>
          </w:tcPr>
          <w:p>
            <w:r>
              <w:t>[AMM]</w:t>
            </w:r>
          </w:p>
        </w:tc>
        <w:tc>
          <w:tcPr>
            <w:tcW w:type="dxa" w:w="4703"/>
          </w:tcPr>
          <w:p>
            <w:r>
              <w:t>Administrador del Mercado Mayorista.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EIA y permisos</w:t>
      </w:r>
    </w:p>
    <w:p>
      <w:r>
        <w:rPr>
          <w:rFonts w:ascii="Calibri" w:hAnsi="Calibri"/>
          <w:b w:val="0"/>
          <w:i w:val="0"/>
          <w:sz w:val="21"/>
        </w:rPr>
        <w:t>☐  Inscripción CNEE como agente</w:t>
      </w:r>
    </w:p>
    <w:p>
      <w:r>
        <w:rPr>
          <w:rFonts w:ascii="Calibri" w:hAnsi="Calibri"/>
          <w:b w:val="0"/>
          <w:i w:val="0"/>
          <w:sz w:val="21"/>
        </w:rPr>
        <w:t>☐  Conexión a transmisión aprobada</w:t>
      </w:r>
    </w:p>
    <w:p>
      <w:r>
        <w:rPr>
          <w:rFonts w:ascii="Calibri" w:hAnsi="Calibri"/>
          <w:b w:val="0"/>
          <w:i w:val="0"/>
          <w:sz w:val="21"/>
        </w:rPr>
        <w:t>☐  Modelo financiero</w:t>
      </w:r>
    </w:p>
    <w:p>
      <w:r>
        <w:rPr>
          <w:rFonts w:ascii="Calibri" w:hAnsi="Calibri"/>
          <w:b w:val="0"/>
          <w:i w:val="0"/>
          <w:sz w:val="21"/>
        </w:rPr>
        <w:t>☐  Project finance estructurado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