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GENERACIÓN ELÉCTRICA — MARCO REGULATORIO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Ley General de Electricidad (Dto. 93-96) y reglamentos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'LA EMPRESA GENERADORA'.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ESTADO (MEM/CNEE)'.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Marco regulatorio para operación como generador eléctrico.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HABILITACIÓN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Inscripción en MEM y CNEE como Agente Generador del MMM.</w:t>
      </w:r>
    </w:p>
    <w:p>
      <w:pPr>
        <w:jc w:val="left"/>
      </w:pPr>
      <w:r>
        <w:rPr>
          <w:b/>
          <w:color w:val="2E4E7C"/>
          <w:sz w:val="22"/>
        </w:rPr>
        <w:t>SEGUNDA: AUTORIZACIONES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EIA, Licencia Ambiental, autorización de uso de aguas (hidro), uso del suelo.</w:t>
      </w:r>
    </w:p>
    <w:p>
      <w:pPr>
        <w:jc w:val="left"/>
      </w:pPr>
      <w:r>
        <w:rPr>
          <w:b/>
          <w:color w:val="2E4E7C"/>
          <w:sz w:val="22"/>
        </w:rPr>
        <w:t>TERCERA: OBLIGACIONES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Operar conforme a Normas Técnicas de Coordinación Operativa (NTCO); reportar; pagar contribuciones AMM/CNEE.</w:t>
      </w:r>
    </w:p>
    <w:p>
      <w:pPr>
        <w:jc w:val="left"/>
      </w:pPr>
      <w:r>
        <w:rPr>
          <w:b/>
          <w:color w:val="2E4E7C"/>
          <w:sz w:val="22"/>
        </w:rPr>
        <w:t>CUARTA: DERECHOS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Acceso al MMM; vender energía; recibir pagos del AMM/AMM agentes.</w:t>
      </w:r>
    </w:p>
    <w:p>
      <w:pPr>
        <w:jc w:val="left"/>
      </w:pPr>
      <w:r>
        <w:rPr>
          <w:b/>
          <w:color w:val="2E4E7C"/>
          <w:sz w:val="22"/>
        </w:rPr>
        <w:t>QUINTA: PEAJE DE TRANSMISIÓN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Conforme a tarifas reguladas.</w:t>
      </w:r>
    </w:p>
    <w:p>
      <w:pPr>
        <w:jc w:val="left"/>
      </w:pPr>
      <w:r>
        <w:rPr>
          <w:b/>
          <w:color w:val="2E4E7C"/>
          <w:sz w:val="22"/>
        </w:rPr>
        <w:t>SEXTA: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SÉPTIMA: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OCTAVA: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NOVENA: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PRIMERA: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SEGUNDA: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INCENTIVOS LEY 52-2003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Exoneración de IVA en importaciones, ISR por 10 años.</w:t>
      </w:r>
    </w:p>
    <w:p>
      <w:pPr>
        <w:jc w:val="left"/>
      </w:pPr>
      <w:r>
        <w:rPr>
          <w:b/>
          <w:color w:val="2E4E7C"/>
          <w:sz w:val="22"/>
        </w:rPr>
        <w:t>[OPCIONAL] INTERCONEXIÓN REGIONAL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Mercado Eléctrico Regional MER.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LA EMPRESA GENERADORA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ESTADO (MEM/CNEE)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LGE Dto. 93-96.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CNEE regula; AMM coordina.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Open access garantizado.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Generación renovable: incentivos del Decreto 52-2003 (Ley de Incentivos para el Desarrollo de Proyectos de Energía Renovable).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[NTCO]</w:t>
            </w:r>
          </w:p>
        </w:tc>
        <w:tc>
          <w:tcPr>
            <w:tcW w:type="dxa" w:w="4703"/>
          </w:tcPr>
          <w:p>
            <w:r>
              <w:t>Normas Técnicas de Coordinación Operativa.</w:t>
            </w:r>
          </w:p>
        </w:tc>
      </w:tr>
      <w:tr>
        <w:tc>
          <w:tcPr>
            <w:tcW w:type="dxa" w:w="4703"/>
          </w:tcPr>
          <w:p>
            <w:r>
              <w:t>[MMM]</w:t>
            </w:r>
          </w:p>
        </w:tc>
        <w:tc>
          <w:tcPr>
            <w:tcW w:type="dxa" w:w="4703"/>
          </w:tcPr>
          <w:p>
            <w:r>
              <w:t>Mercado Mayorista de Electricidad.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Inscripciones MEM/CNEE</w:t>
      </w:r>
    </w:p>
    <w:p>
      <w:r>
        <w:rPr>
          <w:rFonts w:ascii="Calibri" w:hAnsi="Calibri"/>
          <w:b w:val="0"/>
          <w:i w:val="0"/>
          <w:sz w:val="21"/>
        </w:rPr>
        <w:t>☐  EIA</w:t>
      </w:r>
    </w:p>
    <w:p>
      <w:r>
        <w:rPr>
          <w:rFonts w:ascii="Calibri" w:hAnsi="Calibri"/>
          <w:b w:val="0"/>
          <w:i w:val="0"/>
          <w:sz w:val="21"/>
        </w:rPr>
        <w:t>☐  Conexión técnica aprobada</w:t>
      </w:r>
    </w:p>
    <w:p>
      <w:r>
        <w:rPr>
          <w:rFonts w:ascii="Calibri" w:hAnsi="Calibri"/>
          <w:b w:val="0"/>
          <w:i w:val="0"/>
          <w:sz w:val="21"/>
        </w:rPr>
        <w:t>☐  Garantías de pago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