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INTERCONEXIÓN AL SIN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Normas Técnicas de Conexión (CNEE)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SOLICITANTE (NUEVO PROYECTO)'.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TRANSPORTISTA / OPERADOR DEL SIN'.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Conexión de nueva planta o usuario al Sistema Interconectado 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ESTUDIOS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Estudio de impacto sobre el sistema (potencia, calidad, estabilidad).</w:t>
      </w:r>
    </w:p>
    <w:p>
      <w:pPr>
        <w:jc w:val="left"/>
      </w:pPr>
      <w:r>
        <w:rPr>
          <w:b/>
          <w:color w:val="2E4E7C"/>
          <w:sz w:val="22"/>
        </w:rPr>
        <w:t>SEGUNDA: OBRAS DE CONEXIÓN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Subestación de conexión; refuerzos de red si aplica.</w:t>
      </w:r>
    </w:p>
    <w:p>
      <w:pPr>
        <w:jc w:val="left"/>
      </w:pPr>
      <w:r>
        <w:rPr>
          <w:b/>
          <w:color w:val="2E4E7C"/>
          <w:sz w:val="22"/>
        </w:rPr>
        <w:t>TERCERA: COSTOS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cuenta del solicitante; obras compartidas si benefician al sistema.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para construcción y energización.</w:t>
      </w:r>
    </w:p>
    <w:p>
      <w:pPr>
        <w:jc w:val="left"/>
      </w:pPr>
      <w:r>
        <w:rPr>
          <w:b/>
          <w:color w:val="2E4E7C"/>
          <w:sz w:val="22"/>
        </w:rPr>
        <w:t>QUINTA: OPERACIÓN COORDINADA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NTCO; coordinación con AMM.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CONEXIÓN COMPARTIDA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generadores en una misma subestación.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SOLICITANTE (NUEVO PROYECTO)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TRANSPORTISTA / OPERADOR DEL SIN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Estudios técnicos rigurosos.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Plazos de aprobación CNEE.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Obras de refuerzo si la red lo requiere.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[SIN]</w:t>
            </w:r>
          </w:p>
        </w:tc>
        <w:tc>
          <w:tcPr>
            <w:tcW w:type="dxa" w:w="4703"/>
          </w:tcPr>
          <w:p>
            <w:r>
              <w:t>Sistema Interconectado Nacional.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Estudio de pre-factibilidad</w:t>
      </w:r>
    </w:p>
    <w:p>
      <w:r>
        <w:rPr>
          <w:rFonts w:ascii="Calibri" w:hAnsi="Calibri"/>
          <w:b w:val="0"/>
          <w:i w:val="0"/>
          <w:sz w:val="21"/>
        </w:rPr>
        <w:t>☐  Estudios definitivos</w:t>
      </w:r>
    </w:p>
    <w:p>
      <w:r>
        <w:rPr>
          <w:rFonts w:ascii="Calibri" w:hAnsi="Calibri"/>
          <w:b w:val="0"/>
          <w:i w:val="0"/>
          <w:sz w:val="21"/>
        </w:rPr>
        <w:t>☐  Aprobación CNEE</w:t>
      </w:r>
    </w:p>
    <w:p>
      <w:r>
        <w:rPr>
          <w:rFonts w:ascii="Calibri" w:hAnsi="Calibri"/>
          <w:b w:val="0"/>
          <w:i w:val="0"/>
          <w:sz w:val="21"/>
        </w:rPr>
        <w:t>☐  Obras civiles y electromecánicas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