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TESTAMENTO COMÚN CERRADO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957–966) y Código de Notariado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[NOTARIO], comparece [NOMBRE COMPLETO], con datos completos, presentando el sobre cerrado que contiene su testamento.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El testador presenta sobre cerrado conteniendo su disposición de última voluntad.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ACTO DE OTORGAMIENTO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testador comparece personalmente ante el notario y [TRES] testigos, presentando un sobre cerrado que contiene su testamento. Declara: (a) que el contenido es su testamento; (b) que está escrito en [#] hojas firmadas por él en cada una; (c) si fue escrito de su puño y letra o por tercero a su dictado.</w:t>
      </w:r>
    </w:p>
    <w:p>
      <w:pPr>
        <w:jc w:val="left"/>
      </w:pPr>
      <w:r>
        <w:rPr>
          <w:b/>
          <w:color w:val="2E4E7C"/>
          <w:sz w:val="22"/>
        </w:rPr>
        <w:t>SEGUNDA: CIERRE Y SELLADO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sobre se cierra en presencia del notario y testigos con [#] sellos. Sobre el sobre se hace constar: nombre del testador, identificación, fecha, número de hojas, y declaración de ser testamento cerrado.</w:t>
      </w:r>
    </w:p>
    <w:p>
      <w:pPr>
        <w:jc w:val="left"/>
      </w:pPr>
      <w:r>
        <w:rPr>
          <w:b/>
          <w:color w:val="2E4E7C"/>
          <w:sz w:val="22"/>
        </w:rPr>
        <w:t>TERCERA: ACTA NOTARIAL DE OTORGAMIENTO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notario levanta acta haciendo constar el acto, declaración del testador, número de hojas, firmantes y demás circunstancias. Firma el testador, testigos y notario sobre el sobre y en el acta.</w:t>
      </w:r>
    </w:p>
    <w:p>
      <w:pPr>
        <w:jc w:val="left"/>
      </w:pPr>
      <w:r>
        <w:rPr>
          <w:b/>
          <w:color w:val="2E4E7C"/>
          <w:sz w:val="22"/>
        </w:rPr>
        <w:t>CUARTA: DEPÓSITO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sobre cerrado se entrega al notario para su custodia en el protocolo notarial. [Opcional: depositado en caja de seguridad bancaria identificada].</w:t>
      </w:r>
    </w:p>
    <w:p>
      <w:pPr>
        <w:jc w:val="left"/>
      </w:pPr>
      <w:r>
        <w:rPr>
          <w:b/>
          <w:color w:val="2E4E7C"/>
          <w:sz w:val="22"/>
        </w:rPr>
        <w:t>QUINTA: APERTURA POST-MORTEM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testamento será abierto judicialmente al fallecimiento del testador, previa presentación de la partida de defunción ante el juez competente.</w:t>
      </w:r>
    </w:p>
    <w:p>
      <w:pPr>
        <w:jc w:val="left"/>
      </w:pPr>
      <w:r>
        <w:rPr>
          <w:b/>
          <w:color w:val="2E4E7C"/>
          <w:sz w:val="22"/>
        </w:rPr>
        <w:t>SEXTA: DERECHO DE REVOCACIÓN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testador puede en cualquier momento solicitar la devolución del sobre o otorgar nuevo testamento que revoque el cerrado.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DEPOSITO EN CAJA BANCARIA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Depositado en caja de seguridad bancaria #[#].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Firmas del testador, tres testigos y notario sobre el sobre cerrado.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957–966 del Código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testamento debe estar escrito de puño y letra del testador o dactilografiado por él, o por un tercero a su dictado, firmado en cada hoja.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Requisitos: tres testigos idóneos.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Notario custodia el sobre en su protocolo.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Apertura post mortem por juez competente.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Ventaja: confidencialidad del contenido en vida del testador.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Desventaja: si el sobre se pierde o destruye, no hay forma de probar el contenido.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[TESTAMENTO CERRADO]</w:t>
            </w:r>
          </w:p>
        </w:tc>
        <w:tc>
          <w:tcPr>
            <w:tcW w:type="dxa" w:w="4703"/>
          </w:tcPr>
          <w:p>
            <w:r>
              <w:t>Testamento cuyo contenido permanece secreto hasta apertura post-mortem.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testador</w:t>
      </w:r>
    </w:p>
    <w:p>
      <w:r>
        <w:rPr>
          <w:rFonts w:ascii="Calibri" w:hAnsi="Calibri"/>
          <w:b w:val="0"/>
          <w:i w:val="0"/>
          <w:sz w:val="21"/>
        </w:rPr>
        <w:t>☐  Sobre cerrado con testamento</w:t>
      </w:r>
    </w:p>
    <w:p>
      <w:r>
        <w:rPr>
          <w:rFonts w:ascii="Calibri" w:hAnsi="Calibri"/>
          <w:b w:val="0"/>
          <w:i w:val="0"/>
          <w:sz w:val="21"/>
        </w:rPr>
        <w:t>☐  Tres testigos</w:t>
      </w:r>
    </w:p>
    <w:p>
      <w:r>
        <w:rPr>
          <w:rFonts w:ascii="Calibri" w:hAnsi="Calibri"/>
          <w:b w:val="0"/>
          <w:i w:val="0"/>
          <w:sz w:val="21"/>
        </w:rPr>
        <w:t>☐  Acta notarial de otorgamiento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