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CESIÓN DE PATENTE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Transferencia de titularidad de patente.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PATENTE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</w:t>
      </w:r>
    </w:p>
    <w:p>
      <w:pPr>
        <w:jc w:val="left"/>
      </w:pPr>
      <w:r>
        <w:rPr>
          <w:b/>
          <w:color w:val="2E4E7C"/>
          <w:sz w:val="22"/>
        </w:rPr>
        <w:t>TERCERA: OBLIGACIONES POST-CESIÓN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Cedente colabora en futuras gestiones técnicas.</w:t>
      </w:r>
    </w:p>
    <w:p>
      <w:pPr>
        <w:jc w:val="left"/>
      </w:pPr>
      <w:r>
        <w:rPr>
          <w:b/>
          <w:color w:val="2E4E7C"/>
          <w:sz w:val="22"/>
        </w:rPr>
        <w:t>CUARTA: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hay pendientes de invalidez o procesos administrativos.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CESIÓN PARCIAL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reivindicación específica.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CESIONARIO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inscribible en RPI.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Saneamiento por evicción.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mantenimiento de anualidades.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[REIVINDICACIONES]</w:t>
            </w:r>
          </w:p>
        </w:tc>
        <w:tc>
          <w:tcPr>
            <w:tcW w:type="dxa" w:w="4703"/>
          </w:tcPr>
          <w:p>
            <w:r>
              <w:t>Definen el alcance de protección de la patente.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Estado RPI</w:t>
      </w:r>
    </w:p>
    <w:p>
      <w:r>
        <w:rPr>
          <w:rFonts w:ascii="Calibri" w:hAnsi="Calibri"/>
          <w:b w:val="0"/>
          <w:i w:val="0"/>
          <w:sz w:val="21"/>
        </w:rPr>
        <w:t>☐  Documentación técnica</w:t>
      </w:r>
    </w:p>
    <w:p>
      <w:r>
        <w:rPr>
          <w:rFonts w:ascii="Calibri" w:hAnsi="Calibri"/>
          <w:b w:val="0"/>
          <w:i w:val="0"/>
          <w:sz w:val="21"/>
        </w:rPr>
        <w:t>☐  Continuidad de anualidades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