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EDICIÓN — PROPIEDAD INTELECTUAL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LDA (Decreto 33-98) y Código de Comercio (Arts. 824-840)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'LA EDITORIAL'.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AUTOR'.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Edición y publicación de obra literaria con cesión limitada de derechos.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OBRA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[Título, género, extensión]</w:t>
      </w:r>
    </w:p>
    <w:p>
      <w:pPr>
        <w:jc w:val="left"/>
      </w:pPr>
      <w:r>
        <w:rPr>
          <w:b/>
          <w:color w:val="2E4E7C"/>
          <w:sz w:val="22"/>
        </w:rPr>
        <w:t>SEGUNDA: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Derechos de reproducción y distribución; territorio; idioma.</w:t>
      </w:r>
    </w:p>
    <w:p>
      <w:pPr>
        <w:jc w:val="left"/>
      </w:pPr>
      <w:r>
        <w:rPr>
          <w:b/>
          <w:color w:val="2E4E7C"/>
          <w:sz w:val="22"/>
        </w:rPr>
        <w:t>TERCERA: TIRAJE Y EDICIONES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ediciones de mínimo [#] ejemplares.</w:t>
      </w:r>
    </w:p>
    <w:p>
      <w:pPr>
        <w:jc w:val="left"/>
      </w:pPr>
      <w:r>
        <w:rPr>
          <w:b/>
          <w:color w:val="2E4E7C"/>
          <w:sz w:val="22"/>
        </w:rPr>
        <w:t>CUARTA: REGALÍAS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[#]% PVP; anticipo Q[#].</w:t>
      </w:r>
    </w:p>
    <w:p>
      <w:pPr>
        <w:jc w:val="left"/>
      </w:pPr>
      <w:r>
        <w:rPr>
          <w:b/>
          <w:color w:val="2E4E7C"/>
          <w:sz w:val="22"/>
        </w:rPr>
        <w:t>QUINTA: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años post-edición.</w:t>
      </w:r>
    </w:p>
    <w:p>
      <w:pPr>
        <w:jc w:val="left"/>
      </w:pPr>
      <w:r>
        <w:rPr>
          <w:b/>
          <w:color w:val="2E4E7C"/>
          <w:sz w:val="22"/>
        </w:rPr>
        <w:t>SEXTA: OBLIGACIONES EDITORIAL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Publicar en [#] meses; registrar ISBN; promocionar; reportar.</w:t>
      </w:r>
    </w:p>
    <w:p>
      <w:pPr>
        <w:jc w:val="left"/>
      </w:pPr>
      <w:r>
        <w:rPr>
          <w:b/>
          <w:color w:val="2E4E7C"/>
          <w:sz w:val="22"/>
        </w:rPr>
        <w:t>SÉPTIMA: EJEMPLARES DE AUTOR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ejemplares gratuitos.</w:t>
      </w:r>
    </w:p>
    <w:p>
      <w:pPr>
        <w:jc w:val="left"/>
      </w:pPr>
      <w:r>
        <w:rPr>
          <w:b/>
          <w:color w:val="2E4E7C"/>
          <w:sz w:val="22"/>
        </w:rPr>
        <w:t>OCTAVA: REVERSIÓN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no se publica en plazo, derechos revierten al autor.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OBRA DIGITAL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Edición electrónica.</w:t>
      </w:r>
    </w:p>
    <w:p>
      <w:pPr>
        <w:jc w:val="left"/>
      </w:pPr>
      <w:r>
        <w:rPr>
          <w:b/>
          <w:color w:val="2E4E7C"/>
          <w:sz w:val="22"/>
        </w:rPr>
        <w:t>[OPCIONAL] MERCHANDISING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Productos derivados.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EDITORIAL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AUTOR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Combina LDA + Código de Comercio.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ISBN registrado.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Derechos morales del autor inalienables.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Reversión por incumplimiento editorial.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[ISBN]</w:t>
            </w:r>
          </w:p>
        </w:tc>
        <w:tc>
          <w:tcPr>
            <w:tcW w:type="dxa" w:w="4703"/>
          </w:tcPr>
          <w:p>
            <w:r>
              <w:t>International Standard Book Number.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Manuscrito</w:t>
      </w:r>
    </w:p>
    <w:p>
      <w:r>
        <w:rPr>
          <w:rFonts w:ascii="Calibri" w:hAnsi="Calibri"/>
          <w:b w:val="0"/>
          <w:i w:val="0"/>
          <w:sz w:val="21"/>
        </w:rPr>
        <w:t>☐  Contrato firmado pre-edición</w:t>
      </w:r>
    </w:p>
    <w:p>
      <w:r>
        <w:rPr>
          <w:rFonts w:ascii="Calibri" w:hAnsi="Calibri"/>
          <w:b w:val="0"/>
          <w:i w:val="0"/>
          <w:sz w:val="21"/>
        </w:rPr>
        <w:t>☐  Registro RPI</w:t>
      </w:r>
    </w:p>
    <w:p>
      <w:r>
        <w:rPr>
          <w:rFonts w:ascii="Calibri" w:hAnsi="Calibri"/>
          <w:b w:val="0"/>
          <w:i w:val="0"/>
          <w:sz w:val="21"/>
        </w:rPr>
        <w:t>☐  ISBN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