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MARCA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Propiedad Industrial (Decreto 57-2000, Arts. 45-49)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LICENCIANTE'.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Concesión de derecho de uso de marca registrada.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MARCA LICENCIADA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[MARCA, registro número, clase de Niza].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[Exclusivo / no exclusivo]. Territorio: [DETALLE]. Productos/servicios: [DETALLE].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años.</w:t>
      </w:r>
    </w:p>
    <w:p>
      <w:pPr>
        <w:jc w:val="left"/>
      </w:pPr>
      <w:r>
        <w:rPr>
          <w:b/>
          <w:color w:val="2E4E7C"/>
          <w:sz w:val="22"/>
        </w:rPr>
        <w:t>CUARTA: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ventas netas.</w:t>
      </w:r>
    </w:p>
    <w:p>
      <w:pPr>
        <w:jc w:val="left"/>
      </w:pPr>
      <w:r>
        <w:rPr>
          <w:b/>
          <w:color w:val="2E4E7C"/>
          <w:sz w:val="22"/>
        </w:rPr>
        <w:t>QUINTA: CONTROL DE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Licenciante puede inspeccionar y exigir estándares — esencial para validez.</w:t>
      </w:r>
    </w:p>
    <w:p>
      <w:pPr>
        <w:jc w:val="left"/>
      </w:pPr>
      <w:r>
        <w:rPr>
          <w:b/>
          <w:color w:val="2E4E7C"/>
          <w:sz w:val="22"/>
        </w:rPr>
        <w:t>SEXTA: USO Y FORMA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manual de identidad gráfica.</w:t>
      </w:r>
    </w:p>
    <w:p>
      <w:pPr>
        <w:jc w:val="left"/>
      </w:pPr>
      <w:r>
        <w:rPr>
          <w:b/>
          <w:color w:val="2E4E7C"/>
          <w:sz w:val="22"/>
        </w:rPr>
        <w:t>SÉPTIMA: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registrar marcas similares; no subllicenciar sin autorización.</w:t>
      </w:r>
    </w:p>
    <w:p>
      <w:pPr>
        <w:jc w:val="left"/>
      </w:pPr>
      <w:r>
        <w:rPr>
          <w:b/>
          <w:color w:val="2E4E7C"/>
          <w:sz w:val="22"/>
        </w:rPr>
        <w:t>OCTAVA: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licencia se inscribe en el Registro de la Propiedad Intelectual (RPI).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SUBLICENCIA AUTORIZADA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 consentimiento del licenciante.</w:t>
      </w:r>
    </w:p>
    <w:p>
      <w:pPr>
        <w:jc w:val="left"/>
      </w:pPr>
      <w:r>
        <w:rPr>
          <w:b/>
          <w:color w:val="2E4E7C"/>
          <w:sz w:val="22"/>
        </w:rPr>
        <w:t>[OPCIONAL]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licenciatario podrá adquirir la marca.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LICENCIATARIO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LPI Dto. 57-2000 — Arts. 45-49.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opcional pero recomendable para oponibilidad.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Control de calidad es REQUISITO ESENCIAL — sin él, la licencia es atacable.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Regalías al exterior: retención ISR.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Pago de aranceles RPI.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[CLASE NIZA]</w:t>
            </w:r>
          </w:p>
        </w:tc>
        <w:tc>
          <w:tcPr>
            <w:tcW w:type="dxa" w:w="4703"/>
          </w:tcPr>
          <w:p>
            <w:r>
              <w:t>Clasificación internacional de productos/servicios.</w:t>
            </w:r>
          </w:p>
        </w:tc>
      </w:tr>
      <w:tr>
        <w:tc>
          <w:tcPr>
            <w:tcW w:type="dxa" w:w="4703"/>
          </w:tcPr>
          <w:p>
            <w:r>
              <w:t>[RPI]</w:t>
            </w:r>
          </w:p>
        </w:tc>
        <w:tc>
          <w:tcPr>
            <w:tcW w:type="dxa" w:w="4703"/>
          </w:tcPr>
          <w:p>
            <w:r>
              <w:t>Registro de la Propiedad Intelectual.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del registro de marca</w:t>
      </w:r>
    </w:p>
    <w:p>
      <w:r>
        <w:rPr>
          <w:rFonts w:ascii="Calibri" w:hAnsi="Calibri"/>
          <w:b w:val="0"/>
          <w:i w:val="0"/>
          <w:sz w:val="21"/>
        </w:rPr>
        <w:t>☐  Manual de imagen</w:t>
      </w:r>
    </w:p>
    <w:p>
      <w:r>
        <w:rPr>
          <w:rFonts w:ascii="Calibri" w:hAnsi="Calibri"/>
          <w:b w:val="0"/>
          <w:i w:val="0"/>
          <w:sz w:val="21"/>
        </w:rPr>
        <w:t>☐  Plan de control de calidad</w:t>
      </w:r>
    </w:p>
    <w:p>
      <w:r>
        <w:rPr>
          <w:rFonts w:ascii="Calibri" w:hAnsi="Calibri"/>
          <w:b w:val="0"/>
          <w:i w:val="0"/>
          <w:sz w:val="21"/>
        </w:rPr>
        <w:t>☐  Procedimientos de auditoría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