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ENSAYO CLÍNICO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normativa MSPAS y Convenios internacionales (ICH-GCP)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PATROCINADOR'.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INVESTIGADOR PRINCIPAL Y SITIO'.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Realización de ensayo clínico para registro o estudio de medicamento.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ESTUDIO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[Fase II/III/IV; nombre del protocolo; producto en investigación]</w:t>
      </w:r>
    </w:p>
    <w:p>
      <w:pPr>
        <w:jc w:val="left"/>
      </w:pPr>
      <w:r>
        <w:rPr>
          <w:b/>
          <w:color w:val="2E4E7C"/>
          <w:sz w:val="22"/>
        </w:rPr>
        <w:t>SEGUNDA: OBJETIVO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[Eficacia / seguridad / dosis-respuesta]</w:t>
      </w:r>
    </w:p>
    <w:p>
      <w:pPr>
        <w:jc w:val="left"/>
      </w:pPr>
      <w:r>
        <w:rPr>
          <w:b/>
          <w:color w:val="2E4E7C"/>
          <w:sz w:val="22"/>
        </w:rPr>
        <w:t>TERCERA: SUJETOS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pacientes con [enfermedad]; criterios de inclusión/exclusión.</w:t>
      </w:r>
    </w:p>
    <w:p>
      <w:pPr>
        <w:jc w:val="left"/>
      </w:pPr>
      <w:r>
        <w:rPr>
          <w:b/>
          <w:color w:val="2E4E7C"/>
          <w:sz w:val="22"/>
        </w:rPr>
        <w:t>CUARTA: CONSENTIMIENTO INFORMADO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Obligatorio; documentado; firmado por cada participante.</w:t>
      </w:r>
    </w:p>
    <w:p>
      <w:pPr>
        <w:jc w:val="left"/>
      </w:pPr>
      <w:r>
        <w:rPr>
          <w:b/>
          <w:color w:val="2E4E7C"/>
          <w:sz w:val="22"/>
        </w:rPr>
        <w:t>QUINTA: APROBACIÓN ÉTICA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Comité de Ética independiente; aprobación MSPAS.</w:t>
      </w:r>
    </w:p>
    <w:p>
      <w:pPr>
        <w:jc w:val="left"/>
      </w:pPr>
      <w:r>
        <w:rPr>
          <w:b/>
          <w:color w:val="2E4E7C"/>
          <w:sz w:val="22"/>
        </w:rPr>
        <w:t>SEXTA: HONORARIOS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sujeto reclutado y completo; gastos cubiertos del sitio.</w:t>
      </w:r>
    </w:p>
    <w:p>
      <w:pPr>
        <w:jc w:val="left"/>
      </w:pPr>
      <w:r>
        <w:rPr>
          <w:b/>
          <w:color w:val="2E4E7C"/>
          <w:sz w:val="22"/>
        </w:rPr>
        <w:t>SÉPTIMA: PRODUCTOS Y EQUIPOS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Patrocinador provee.</w:t>
      </w:r>
    </w:p>
    <w:p>
      <w:pPr>
        <w:jc w:val="left"/>
      </w:pPr>
      <w:r>
        <w:rPr>
          <w:b/>
          <w:color w:val="2E4E7C"/>
          <w:sz w:val="22"/>
        </w:rPr>
        <w:t>OCTAVA: RECOLECCIÓN DE DATOS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CRFs electrónicos; auditorías.</w:t>
      </w:r>
    </w:p>
    <w:p>
      <w:pPr>
        <w:jc w:val="left"/>
      </w:pPr>
      <w:r>
        <w:rPr>
          <w:b/>
          <w:color w:val="2E4E7C"/>
          <w:sz w:val="22"/>
        </w:rPr>
        <w:t>NOVENA: EVENTOS ADVERSOS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Reporte obligatorio.</w:t>
      </w:r>
    </w:p>
    <w:p>
      <w:pPr>
        <w:jc w:val="left"/>
      </w:pPr>
      <w:r>
        <w:rPr>
          <w:b/>
          <w:color w:val="2E4E7C"/>
          <w:sz w:val="22"/>
        </w:rPr>
        <w:t>DÉCIMA: SEGURO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Patrocinador asegura responsabilidad civil de participantes y daños.</w:t>
      </w:r>
    </w:p>
    <w:p>
      <w:pPr>
        <w:jc w:val="left"/>
      </w:pPr>
      <w:r>
        <w:rPr>
          <w:b/>
          <w:color w:val="2E4E7C"/>
          <w:sz w:val="22"/>
        </w:rPr>
        <w:t>DÉCIMA PRIMERA: CONFIDENCIALIDAD Y PI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Datos del estudio propiedad del patrocinador.</w:t>
      </w:r>
    </w:p>
    <w:p>
      <w:pPr>
        <w:jc w:val="left"/>
      </w:pPr>
      <w:r>
        <w:rPr>
          <w:b/>
          <w:color w:val="2E4E7C"/>
          <w:sz w:val="22"/>
        </w:rPr>
        <w:t>DÉCIMA SEGUNDA: PUBLICACIONES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Coordinadas con patrocinador.</w:t>
      </w:r>
    </w:p>
    <w:p>
      <w:pPr>
        <w:jc w:val="left"/>
      </w:pPr>
      <w:r>
        <w:rPr>
          <w:b/>
          <w:color w:val="2E4E7C"/>
          <w:sz w:val="22"/>
        </w:rPr>
        <w:t>DÉCIMA TERCERA: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CUARTA: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QUINTA: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SEXTA: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SÉPTIMA: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OCTAVA: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NOVENA: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ENSAYOS POST-COMERCIALIZACIÓN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Fase IV — vigilancia post-aprobación.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PATROCINADOR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INVESTIGADOR PRINCIPAL Y SITIO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MSPAS regula vía Acuerdo Gubernativo.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ICH-GCP estándares internacionales.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Declaración de Helsinki principios éticos.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Comité de Ética obligatorio (CIEB).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Seguro de responsabilidad obligatorio.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Datos personales sensibles — máxima protección.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[GCP]</w:t>
            </w:r>
          </w:p>
        </w:tc>
        <w:tc>
          <w:tcPr>
            <w:tcW w:type="dxa" w:w="4703"/>
          </w:tcPr>
          <w:p>
            <w:r>
              <w:t>Good Clinical Practice.</w:t>
            </w:r>
          </w:p>
        </w:tc>
      </w:tr>
      <w:tr>
        <w:tc>
          <w:tcPr>
            <w:tcW w:type="dxa" w:w="4703"/>
          </w:tcPr>
          <w:p>
            <w:r>
              <w:t>[CIEB]</w:t>
            </w:r>
          </w:p>
        </w:tc>
        <w:tc>
          <w:tcPr>
            <w:tcW w:type="dxa" w:w="4703"/>
          </w:tcPr>
          <w:p>
            <w:r>
              <w:t>Comité de Investigación, Ética y Bioseguridad.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Protocolo aprobado por CIEB y MSPAS</w:t>
      </w:r>
    </w:p>
    <w:p>
      <w:r>
        <w:rPr>
          <w:rFonts w:ascii="Calibri" w:hAnsi="Calibri"/>
          <w:b w:val="0"/>
          <w:i w:val="0"/>
          <w:sz w:val="21"/>
        </w:rPr>
        <w:t>☐  Investigador principal calificado</w:t>
      </w:r>
    </w:p>
    <w:p>
      <w:r>
        <w:rPr>
          <w:rFonts w:ascii="Calibri" w:hAnsi="Calibri"/>
          <w:b w:val="0"/>
          <w:i w:val="0"/>
          <w:sz w:val="21"/>
        </w:rPr>
        <w:t>☐  Sitio acreditado</w:t>
      </w:r>
    </w:p>
    <w:p>
      <w:r>
        <w:rPr>
          <w:rFonts w:ascii="Calibri" w:hAnsi="Calibri"/>
          <w:b w:val="0"/>
          <w:i w:val="0"/>
          <w:sz w:val="21"/>
        </w:rPr>
        <w:t>☐  Seguro vigente</w:t>
      </w:r>
    </w:p>
    <w:p>
      <w:r>
        <w:rPr>
          <w:rFonts w:ascii="Calibri" w:hAnsi="Calibri"/>
          <w:b w:val="0"/>
          <w:i w:val="0"/>
          <w:sz w:val="21"/>
        </w:rPr>
        <w:t>☐  Consentimientos firmados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