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PARA TRÁMITE DE REGISTRO SANITARIO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Salud + Reglamento de Productos Farmacéuticos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TITULAR (FABRICANTE/IMPORTADOR)'.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REGULATORIA / CRO'.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profesionales para obtener registro sanitario MSPAS.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[Medicamento / dispositivo / alimento / cosmético]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Preparación de expediente; trámites; respuesta a observaciones; renovaciones.</w:t>
      </w:r>
    </w:p>
    <w:p>
      <w:pPr>
        <w:jc w:val="left"/>
      </w:pPr>
      <w:r>
        <w:rPr>
          <w:b/>
          <w:color w:val="2E4E7C"/>
          <w:sz w:val="22"/>
        </w:rPr>
        <w:t>TERCERA: DOCUMENTACIÓN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BPM, estabilidad, eficacia, seguridad, etiquetado, prospecto.</w:t>
      </w:r>
    </w:p>
    <w:p>
      <w:pPr>
        <w:jc w:val="left"/>
      </w:pPr>
      <w:r>
        <w:rPr>
          <w:b/>
          <w:color w:val="2E4E7C"/>
          <w:sz w:val="22"/>
        </w:rPr>
        <w:t>CUARTA: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inicial + Q[#] por mantenimiento anual.</w:t>
      </w:r>
    </w:p>
    <w:p>
      <w:pPr>
        <w:jc w:val="left"/>
      </w:pPr>
      <w:r>
        <w:rPr>
          <w:b/>
          <w:color w:val="2E4E7C"/>
          <w:sz w:val="22"/>
        </w:rPr>
        <w:t>QUINTA: PLAZO ESTIMADO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para nuevo registro.</w:t>
      </w:r>
    </w:p>
    <w:p>
      <w:pPr>
        <w:jc w:val="left"/>
      </w:pPr>
      <w:r>
        <w:rPr>
          <w:b/>
          <w:color w:val="2E4E7C"/>
          <w:sz w:val="22"/>
        </w:rPr>
        <w:t>SEXTA: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Regulatoria por errores procesales; titular por contenido técnico.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REGISTRO RÁPIDO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Vía expedita para productos esenciales.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(FABRICANTE/IMPORTADOR)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REGULATORIA / CRO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MSPAS — Dirección de Regulación, Vigilancia y Control de la Salud (DRVCS).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Categorías diferentes para medicamentos, dispositivos, alimentos, cosméticos.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Reglamentos específicos por categoría.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Renovaciones cada [#]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Cadena RIPS (Red Interamericana).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[DRVCS]</w:t>
            </w:r>
          </w:p>
        </w:tc>
        <w:tc>
          <w:tcPr>
            <w:tcW w:type="dxa" w:w="4703"/>
          </w:tcPr>
          <w:p>
            <w:r>
              <w:t>Dirección de Regulación, Vigilancia y Control de la Salud.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BPM del fabricante</w:t>
      </w:r>
    </w:p>
    <w:p>
      <w:r>
        <w:rPr>
          <w:rFonts w:ascii="Calibri" w:hAnsi="Calibri"/>
          <w:b w:val="0"/>
          <w:i w:val="0"/>
          <w:sz w:val="21"/>
        </w:rPr>
        <w:t>☐  Estudios de estabilidad</w:t>
      </w:r>
    </w:p>
    <w:p>
      <w:r>
        <w:rPr>
          <w:rFonts w:ascii="Calibri" w:hAnsi="Calibri"/>
          <w:b w:val="0"/>
          <w:i w:val="0"/>
          <w:sz w:val="21"/>
        </w:rPr>
        <w:t>☐  Eficacia y seguridad</w:t>
      </w:r>
    </w:p>
    <w:p>
      <w:r>
        <w:rPr>
          <w:rFonts w:ascii="Calibri" w:hAnsi="Calibri"/>
          <w:b w:val="0"/>
          <w:i w:val="0"/>
          <w:sz w:val="21"/>
        </w:rPr>
        <w:t>☐  Etiquetado</w:t>
      </w:r>
    </w:p>
    <w:p>
      <w:r>
        <w:rPr>
          <w:rFonts w:ascii="Calibri" w:hAnsi="Calibri"/>
          <w:b w:val="0"/>
          <w:i w:val="0"/>
          <w:sz w:val="21"/>
        </w:rPr>
        <w:t>☐  Prospecto</w:t>
      </w:r>
    </w:p>
    <w:p>
      <w:r>
        <w:rPr>
          <w:rFonts w:ascii="Calibri" w:hAnsi="Calibri"/>
          <w:b w:val="0"/>
          <w:i w:val="0"/>
          <w:sz w:val="21"/>
        </w:rPr>
        <w:t>☐  Muestras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