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ACUERDO DE ESCISIÓN PARCIAL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Aplicación supletoria del Código de Comercio (regulación específica en construcción)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'LA SOCIEDAD ESCINDENTE'.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'LA SOCIEDAD BENEFICIARIA'.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LA ESCINDENTE desea segregar parte de su patrimonio (activos, pasivos, contratos, unidad de negocio) y aportarlo a LA BENEFICIARIA.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ambas sociedades han aprobado el acuerdo de escisión en sus asambleas correspondientes.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 DE LA ESCISIÓN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ESCINDENTE separa de su patrimonio la unidad económica consistente en [DESCRIPCIÓN — sucursal, línea de negocio, activos, pasivos, contratos], la cual se aporta a LA BENEFICIARIA. LA ESCINDENTE no se extingue; continúa operando con el resto de su patrimonio.</w:t>
      </w:r>
    </w:p>
    <w:p>
      <w:pPr>
        <w:jc w:val="left"/>
      </w:pPr>
      <w:r>
        <w:rPr>
          <w:b/>
          <w:color w:val="2E4E7C"/>
          <w:sz w:val="22"/>
        </w:rPr>
        <w:t>SEGUNDA: INVENTARIO DETALLADO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anexa el inventario detallado de los activos y pasivos escindidos al [FECHA], valuados conforme a NIIF y auditados.</w:t>
      </w:r>
    </w:p>
    <w:p>
      <w:pPr>
        <w:jc w:val="left"/>
      </w:pPr>
      <w:r>
        <w:rPr>
          <w:b/>
          <w:color w:val="2E4E7C"/>
          <w:sz w:val="22"/>
        </w:rPr>
        <w:t>TERCERA: CONTRAPRESTACIÓN A SOCIOS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Como contraprestación por el patrimonio aportado, LA BENEFICIARIA emite [#] acciones / participaciones a favor de [los socios de LA ESCINDENTE / LA ESCINDENTE misma], según el siguiente reparto: [DETALLE].</w:t>
      </w:r>
    </w:p>
    <w:p>
      <w:pPr>
        <w:jc w:val="left"/>
      </w:pPr>
      <w:r>
        <w:rPr>
          <w:b/>
          <w:color w:val="2E4E7C"/>
          <w:sz w:val="22"/>
        </w:rPr>
        <w:t>CUARTA: CONTINUIDAD DE OBLIGACIONES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BENEFICIARIA asume las obligaciones detalladas en el inventario. LA ESCINDENTE responde subsidiariamente por las obligaciones transmitidas si LA BENEFICIARIA no las cumple, durante [#] años.</w:t>
      </w:r>
    </w:p>
    <w:p>
      <w:pPr>
        <w:jc w:val="left"/>
      </w:pPr>
      <w:r>
        <w:rPr>
          <w:b/>
          <w:color w:val="2E4E7C"/>
          <w:sz w:val="22"/>
        </w:rPr>
        <w:t>QUINTA: FECHA EFECTIVA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Inscripción en RM.</w:t>
      </w:r>
    </w:p>
    <w:p>
      <w:pPr>
        <w:jc w:val="left"/>
      </w:pPr>
      <w:r>
        <w:rPr>
          <w:b/>
          <w:color w:val="2E4E7C"/>
          <w:sz w:val="22"/>
        </w:rPr>
        <w:t>SEXTA: EDICTOS Y OPOSICIÓN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publicarán tres edictos en el DCA con intervalo de ocho días, otorgando derecho de oposición a acreedores por dos meses, aplicando supletoriamente las normas de fusión.</w:t>
      </w:r>
    </w:p>
    <w:p>
      <w:pPr>
        <w:jc w:val="left"/>
      </w:pPr>
      <w:r>
        <w:rPr>
          <w:b/>
          <w:color w:val="2E4E7C"/>
          <w:sz w:val="22"/>
        </w:rPr>
        <w:t>SÉPTIMA: EMPLEADOS Y CONTRATOS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contratos de empleados afectos a la unidad escindida se trasladan a LA BENEFICIARIA conservando antigüedad y derechos (sustitución patronal).</w:t>
      </w:r>
    </w:p>
    <w:p>
      <w:pPr>
        <w:jc w:val="left"/>
      </w:pPr>
      <w:r>
        <w:rPr>
          <w:b/>
          <w:color w:val="2E4E7C"/>
          <w:sz w:val="22"/>
        </w:rPr>
        <w:t>OCTAVA: ACUERDOS DE TRANSICIÓN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celebran simultáneamente Acuerdo de Servicios Transitorios (TSA) por [#] meses para servicios compartidos durante la separación operativa.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INDEMNIDAD ENTRE SOCIEDADES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ESCINDENTE se obliga a indemnizar a LA BENEFICIARIA por contingencias del patrimonio escindido descubiertas después de la fecha efectiva, hasta por [PERÍODO] y por un monto máximo de Q[CAP].</w:t>
      </w:r>
    </w:p>
    <w:p>
      <w:pPr>
        <w:jc w:val="left"/>
      </w:pPr>
      <w:r>
        <w:rPr>
          <w:b/>
          <w:color w:val="2E4E7C"/>
          <w:sz w:val="22"/>
        </w:rPr>
        <w:t>[OPCIONAL] CONDICIONES PRECEDENTES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escisión está sujeta a: (a) criterio fiscal favorable; (b) ausencia de oposición de acreedores; (c) autorizaciones regulatorias.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SOCIEDAD ESCINDENTE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SOCIEDAD BENEFICIARIA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En Guatemala la escisión no tiene regulación expresa en el Código de Comercio — se aplican supletoriamente las normas de fusión, principios generales y autonomía contractual.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Variantes: (a) total (la escindente se extingue); (b) parcial (la escindente subsiste); (c) impropia (sin entrega de acciones a socios).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Forma: escritura pública. Inscripción en RM.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Derecho de oposición de acreedores aplicable.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Análisis fiscal crítico: la SAT puede considerar la escisión como enajenación si no cumple criterios de neutralidad. Obtener criterio.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Cumplimiento laboral: sustitución patronal (Art. 23 C.T.).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involucra inmuebles, inscripción en RGP.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Recomendable contar con criterio SIB si involucra entidades financieras.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[ESCISIÓN PARCIAL]</w:t>
            </w:r>
          </w:p>
        </w:tc>
        <w:tc>
          <w:tcPr>
            <w:tcW w:type="dxa" w:w="4703"/>
          </w:tcPr>
          <w:p>
            <w:r>
              <w:t>Segregación de parte del patrimonio sin extinguir la sociedad escindente.</w:t>
            </w:r>
          </w:p>
        </w:tc>
      </w:tr>
      <w:tr>
        <w:tc>
          <w:tcPr>
            <w:tcW w:type="dxa" w:w="4703"/>
          </w:tcPr>
          <w:p>
            <w:r>
              <w:t>[TSA]</w:t>
            </w:r>
          </w:p>
        </w:tc>
        <w:tc>
          <w:tcPr>
            <w:tcW w:type="dxa" w:w="4703"/>
          </w:tcPr>
          <w:p>
            <w:r>
              <w:t>Transitional Services Agreement — servicios compartidos durante la separación.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Actas de Asamblea de ambas sociedades</w:t>
      </w:r>
    </w:p>
    <w:p>
      <w:r>
        <w:rPr>
          <w:rFonts w:ascii="Calibri" w:hAnsi="Calibri"/>
          <w:b w:val="0"/>
          <w:i w:val="0"/>
          <w:sz w:val="21"/>
        </w:rPr>
        <w:t>☐  Inventario detallado del patrimonio escindido</w:t>
      </w:r>
    </w:p>
    <w:p>
      <w:r>
        <w:rPr>
          <w:rFonts w:ascii="Calibri" w:hAnsi="Calibri"/>
          <w:b w:val="0"/>
          <w:i w:val="0"/>
          <w:sz w:val="21"/>
        </w:rPr>
        <w:t>☐  Balances de las sociedades involucradas</w:t>
      </w:r>
    </w:p>
    <w:p>
      <w:r>
        <w:rPr>
          <w:rFonts w:ascii="Calibri" w:hAnsi="Calibri"/>
          <w:b w:val="0"/>
          <w:i w:val="0"/>
          <w:sz w:val="21"/>
        </w:rPr>
        <w:t>☐  Valuación e informe contable/fiscal</w:t>
      </w:r>
    </w:p>
    <w:p>
      <w:r>
        <w:rPr>
          <w:rFonts w:ascii="Calibri" w:hAnsi="Calibri"/>
          <w:b w:val="0"/>
          <w:i w:val="0"/>
          <w:sz w:val="21"/>
        </w:rPr>
        <w:t>☐  Edictos en DCA</w:t>
      </w:r>
    </w:p>
    <w:p>
      <w:r>
        <w:rPr>
          <w:rFonts w:ascii="Calibri" w:hAnsi="Calibri"/>
          <w:b w:val="0"/>
          <w:i w:val="0"/>
          <w:sz w:val="21"/>
        </w:rPr>
        <w:t>☐  Criterio SAT</w:t>
      </w:r>
    </w:p>
    <w:p>
      <w:r>
        <w:rPr>
          <w:rFonts w:ascii="Calibri" w:hAnsi="Calibri"/>
          <w:b w:val="0"/>
          <w:i w:val="0"/>
          <w:sz w:val="21"/>
        </w:rPr>
        <w:t>☐  Comunicación a empleados y MINTRAB</w:t>
      </w:r>
    </w:p>
    <w:p>
      <w:r>
        <w:rPr>
          <w:rFonts w:ascii="Calibri" w:hAnsi="Calibri"/>
          <w:b w:val="0"/>
          <w:i w:val="0"/>
          <w:sz w:val="21"/>
        </w:rPr>
        <w:t>☐  Inscripción en RM y RGP (si aplica)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