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FUSIÓN POR ABSORCIÓN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(Decreto 2-70, Arts. 256–262)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SOCIEDAD ABSORBENTE'.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SOCIEDAD ABSORBIDA'.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las partes son sociedades mercantiles inscritas debidamente en el Registro Mercantil.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han acordado fusionarse, transmitiéndose la totalidad del patrimonio de la ABSORBIDA a la ABSORBENTE, extinguiéndose aquella sin liquidación.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DE LA FUSIÓN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ABSORBIDA transmite a LA SOCIEDAD ABSORBENTE la totalidad de su patrimonio, activos y pasivos, derechos y obligaciones, a título universal, extinguiéndose aquella sin liquidación. LA ABSORBENTE continuará con todas las operaciones, contratos y relaciones jurídicas.</w:t>
      </w:r>
    </w:p>
    <w:p>
      <w:pPr>
        <w:jc w:val="left"/>
      </w:pPr>
      <w:r>
        <w:rPr>
          <w:b/>
          <w:color w:val="2E4E7C"/>
          <w:sz w:val="22"/>
        </w:rPr>
        <w:t>SEGUNDA: RAZÓN DE INTERCAMBIO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 los socios/accionistas de LA ABSORBIDA se les entregarán [#] acciones / participaciones de LA ABSORBENTE por cada [#] acciones / participaciones de LA ABSORBIDA, conforme a las valuaciones realizadas.</w:t>
      </w:r>
    </w:p>
    <w:p>
      <w:pPr>
        <w:jc w:val="left"/>
      </w:pPr>
      <w:r>
        <w:rPr>
          <w:b/>
          <w:color w:val="2E4E7C"/>
          <w:sz w:val="22"/>
        </w:rPr>
        <w:t>TERCERA: BALANCES DE FUSIÓN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acompañan como anexos: (a) Balance de LA ABSORBENTE al [FECHA]; (b) Balance de LA ABSORBIDA al [FECHA]; (c) Balance consolidado proyectado. Ambos balances fueron auditados por [FIRMA].</w:t>
      </w:r>
    </w:p>
    <w:p>
      <w:pPr>
        <w:jc w:val="left"/>
      </w:pPr>
      <w:r>
        <w:rPr>
          <w:b/>
          <w:color w:val="2E4E7C"/>
          <w:sz w:val="22"/>
        </w:rPr>
        <w:t>CUARTA: ACUERDOS PREVIOS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sociedad celebró Asamblea Extraordinaria para aprobar la fusión: (a) ABSORBENTE el [FECHA] con quórum y mayoría conforme a sus estatutos; (b) ABSORBIDA el [FECHA].</w:t>
      </w:r>
    </w:p>
    <w:p>
      <w:pPr>
        <w:jc w:val="left"/>
      </w:pPr>
      <w:r>
        <w:rPr>
          <w:b/>
          <w:color w:val="2E4E7C"/>
          <w:sz w:val="22"/>
        </w:rPr>
        <w:t>QUINTA: FECHA EFECTIVA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fusión surtirá efectos legales desde la inscripción en el Registro Mercantil. Contablemente, los efectos económicos se retrotraen al [FECHA EFECTIVA].</w:t>
      </w:r>
    </w:p>
    <w:p>
      <w:pPr>
        <w:jc w:val="left"/>
      </w:pPr>
      <w:r>
        <w:rPr>
          <w:b/>
          <w:color w:val="2E4E7C"/>
          <w:sz w:val="22"/>
        </w:rPr>
        <w:t>SEXTA: DERECHO DE OPOSICIÓN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han publicado tres edictos en el Diario de Centro América con intervalo de ocho días, otorgando a los acreedores derecho de oposición durante dos meses (Art. 258 C.Com). [Indicar si hubo oposiciones y cómo se resolvieron].</w:t>
      </w:r>
    </w:p>
    <w:p>
      <w:pPr>
        <w:jc w:val="left"/>
      </w:pPr>
      <w:r>
        <w:rPr>
          <w:b/>
          <w:color w:val="2E4E7C"/>
          <w:sz w:val="22"/>
        </w:rPr>
        <w:t>SÉPTIMA: PROTECCIÓN DE ACREEDORES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ABSORBENTE asume expresamente todas las obligaciones de LA ABSORBIDA y garantiza el pago de las mismas a los acreedores conforme a sus términos originales.</w:t>
      </w:r>
    </w:p>
    <w:p>
      <w:pPr>
        <w:jc w:val="left"/>
      </w:pPr>
      <w:r>
        <w:rPr>
          <w:b/>
          <w:color w:val="2E4E7C"/>
          <w:sz w:val="22"/>
        </w:rPr>
        <w:t>OCTAVA: EMPLEADOS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contratos laborales de LA ABSORBIDA se trasladan a LA ABSORBENTE conservando la antigüedad, salario y demás derechos, conforme a sustitución patronal (Art. 23 C.T.).</w:t>
      </w:r>
    </w:p>
    <w:p>
      <w:pPr>
        <w:jc w:val="left"/>
      </w:pPr>
      <w:r>
        <w:rPr>
          <w:b/>
          <w:color w:val="2E4E7C"/>
          <w:sz w:val="22"/>
        </w:rPr>
        <w:t>NOVENA: CANCELACIÓN DE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Tras la inscripción de la fusión, se solicitará al Registro Mercantil la cancelación de la inscripción de LA ABSORBIDA.</w:t>
      </w:r>
    </w:p>
    <w:p>
      <w:pPr>
        <w:jc w:val="left"/>
      </w:pPr>
      <w:r>
        <w:rPr>
          <w:b/>
          <w:color w:val="2E4E7C"/>
          <w:sz w:val="22"/>
        </w:rPr>
        <w:t>DÉCIMA: AUTORIZACIONES REGULATORIAS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obtuvieron previamente las autorizaciones requeridas: SIB (si financieras), SAT (criterios fiscales), y demás autoridades aplicables.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PAGO EN EFECTIVO COMPLEMENTARIO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Como complemento al canje de acciones, se pagará en efectivo Q[MONTO] por acción de la ABSORBIDA, cuando el canje no resulte exacto.</w:t>
      </w:r>
    </w:p>
    <w:p>
      <w:pPr>
        <w:jc w:val="left"/>
      </w:pPr>
      <w:r>
        <w:rPr>
          <w:b/>
          <w:color w:val="2E4E7C"/>
          <w:sz w:val="22"/>
        </w:rPr>
        <w:t>[OPCIONAL] CONDICIONES PRECEDENTES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fusión queda sujeta a: (a) obtención de autorizaciones regulatorias; (b) ausencia de cambio material adverso; (c) due diligence satisfactorio; (d) obtención de financiamiento.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SOCIEDAD ABSORBENTE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SOCIEDAD ABSORBIDA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256–262 del Código de Comercio.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Tipos de fusión: (a) por absorción (una absorbe); (b) por integración (todas se extinguen y nace una nueva).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pública. Inscripción en RM.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Publicación de TRES edictos en DCA con intervalos de 8 días (Art. 257).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 de oposición de acreedores durante 2 meses contados desde la última publicación. La inscripción se suspende hasta vencer el plazo o resolver oposiciones (Art. 258).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las sociedades son contribuyentes especiales o tienen activos relevantes, obtener criterio SAT.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Tratamiento fiscal: la fusión puede ser neutral si cumple requisitos legales (sin ganancia gravada), pero requiere análisis caso a caso.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Comunicación a IGSS, Mintrab (sustitución patronal), entidades reguladoras.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las sociedades son grandes contribuyentes, considerar derecho de competencia (en GT aún sin Ley de Competencia aprobada).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[FUSIÓN POR ABSORCIÓN]</w:t>
            </w:r>
          </w:p>
        </w:tc>
        <w:tc>
          <w:tcPr>
            <w:tcW w:type="dxa" w:w="4703"/>
          </w:tcPr>
          <w:p>
            <w:r>
              <w:t>Una sociedad absorbe a otra(s); la(s) absorbida(s) se extingue(n).</w:t>
            </w:r>
          </w:p>
        </w:tc>
      </w:tr>
      <w:tr>
        <w:tc>
          <w:tcPr>
            <w:tcW w:type="dxa" w:w="4703"/>
          </w:tcPr>
          <w:p>
            <w:r>
              <w:t>[RAZÓN DE INTERCAMBIO]</w:t>
            </w:r>
          </w:p>
        </w:tc>
        <w:tc>
          <w:tcPr>
            <w:tcW w:type="dxa" w:w="4703"/>
          </w:tcPr>
          <w:p>
            <w:r>
              <w:t>Proporción de canje de acciones/participaciones.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Actas de Asamblea de ambas sociedades</w:t>
      </w:r>
    </w:p>
    <w:p>
      <w:r>
        <w:rPr>
          <w:rFonts w:ascii="Calibri" w:hAnsi="Calibri"/>
          <w:b w:val="0"/>
          <w:i w:val="0"/>
          <w:sz w:val="21"/>
        </w:rPr>
        <w:t>☐  Balances auditados</w:t>
      </w:r>
    </w:p>
    <w:p>
      <w:r>
        <w:rPr>
          <w:rFonts w:ascii="Calibri" w:hAnsi="Calibri"/>
          <w:b w:val="0"/>
          <w:i w:val="0"/>
          <w:sz w:val="21"/>
        </w:rPr>
        <w:t>☐  Valuación e informe de razón de intercambio</w:t>
      </w:r>
    </w:p>
    <w:p>
      <w:r>
        <w:rPr>
          <w:rFonts w:ascii="Calibri" w:hAnsi="Calibri"/>
          <w:b w:val="0"/>
          <w:i w:val="0"/>
          <w:sz w:val="21"/>
        </w:rPr>
        <w:t>☐  Tres edictos publicados en DCA</w:t>
      </w:r>
    </w:p>
    <w:p>
      <w:r>
        <w:rPr>
          <w:rFonts w:ascii="Calibri" w:hAnsi="Calibri"/>
          <w:b w:val="0"/>
          <w:i w:val="0"/>
          <w:sz w:val="21"/>
        </w:rPr>
        <w:t>☐  Plazo de oposición vencido o resuelto</w:t>
      </w:r>
    </w:p>
    <w:p>
      <w:r>
        <w:rPr>
          <w:rFonts w:ascii="Calibri" w:hAnsi="Calibri"/>
          <w:b w:val="0"/>
          <w:i w:val="0"/>
          <w:sz w:val="21"/>
        </w:rPr>
        <w:t>☐  Criterio SAT sobre tratamiento fiscal</w:t>
      </w:r>
    </w:p>
    <w:p>
      <w:r>
        <w:rPr>
          <w:rFonts w:ascii="Calibri" w:hAnsi="Calibri"/>
          <w:b w:val="0"/>
          <w:i w:val="0"/>
          <w:sz w:val="21"/>
        </w:rPr>
        <w:t>☐  Inscripción en RM</w:t>
      </w:r>
    </w:p>
    <w:p>
      <w:r>
        <w:rPr>
          <w:rFonts w:ascii="Calibri" w:hAnsi="Calibri"/>
          <w:b w:val="0"/>
          <w:i w:val="0"/>
          <w:sz w:val="21"/>
        </w:rPr>
        <w:t>☐  Comunicación a IGSS, MINTRAB</w:t>
      </w:r>
    </w:p>
    <w:p>
      <w:r>
        <w:rPr>
          <w:rFonts w:ascii="Calibri" w:hAnsi="Calibri"/>
          <w:b w:val="0"/>
          <w:i w:val="0"/>
          <w:sz w:val="21"/>
        </w:rPr>
        <w:t>☐  Cancelación de inscripción de la absorbida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