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ACUERDO DE TRANSFORMACIÓN SOCIETARIA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(Decreto 2-70, Arts. 262 y conexos)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MÍ, [NOTARIO], comparecen los socios/accionistas de [RAZÓN SOCIAL] que representan el quórum y mayoría requeridos para la transformación.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[RAZÓN SOCIAL] se constituyó como [TIPO ORIGINAL] mediante escritura pública del [FECHA] inscrita al [#].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los socios/accionistas han decidido transformar la sociedad en [NUEVO TIPO].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ACUERDO DE TRANSFORMACIÓN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En Asamblea Extraordinaria celebrada el [FECHA] con quórum del [#]% del capital y mayoría de [#]%, se aprobó la transformación de la sociedad de [TIPO ORIGINAL] a [NUEVO TIPO].</w:t>
      </w:r>
    </w:p>
    <w:p>
      <w:pPr>
        <w:jc w:val="left"/>
      </w:pPr>
      <w:r>
        <w:rPr>
          <w:b/>
          <w:color w:val="2E4E7C"/>
          <w:sz w:val="22"/>
        </w:rPr>
        <w:t>SEGUNDA: CONTINUIDAD DE LA PERSONA JURÍDICA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transformación NO implica disolución ni constitución de nueva sociedad. La persona jurídica subsiste sin solución de continuidad, conservando su NIT, patrimonio, derechos, obligaciones y relaciones jurídicas (Art. 262 C.Com).</w:t>
      </w:r>
    </w:p>
    <w:p>
      <w:pPr>
        <w:jc w:val="left"/>
      </w:pPr>
      <w:r>
        <w:rPr>
          <w:b/>
          <w:color w:val="2E4E7C"/>
          <w:sz w:val="22"/>
        </w:rPr>
        <w:t>TERCERA: MODIFICACIÓN DEL PACTO SOCIAL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pacto social se modifica íntegramente para adoptar la estructura del nuevo tipo. Las cláusulas modificadas son: [DENOMINACIÓN, CAPITAL, ÓRGANOS, RESPONSABILIDAD DE SOCIOS, ETC.].</w:t>
      </w:r>
    </w:p>
    <w:p>
      <w:pPr>
        <w:jc w:val="left"/>
      </w:pPr>
      <w:r>
        <w:rPr>
          <w:b/>
          <w:color w:val="2E4E7C"/>
          <w:sz w:val="22"/>
        </w:rPr>
        <w:t>CUARTA: DENOMINACIÓN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sociedad se denominará ahora '[NUEVA RAZÓN SOCIAL], [NUEVO TIPO]', cumpliendo con las normas aplicables a este tipo.</w:t>
      </w:r>
    </w:p>
    <w:p>
      <w:pPr>
        <w:jc w:val="left"/>
      </w:pPr>
      <w:r>
        <w:rPr>
          <w:b/>
          <w:color w:val="2E4E7C"/>
          <w:sz w:val="22"/>
        </w:rPr>
        <w:t>QUINTA: RESPONSABILIDAD DE LOS SOCIOS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[En caso de transformación de tipo con responsabilidad ilimitada a limitada]: La responsabilidad solidaria e ilimitada de los socios subsistirá respecto de las obligaciones contraídas ANTES de la transformación. Las obligaciones posteriores se rigen por la responsabilidad limitada propia del nuevo tipo.</w:t>
      </w:r>
    </w:p>
    <w:p>
      <w:pPr>
        <w:jc w:val="left"/>
      </w:pPr>
      <w:r>
        <w:rPr>
          <w:b/>
          <w:color w:val="2E4E7C"/>
          <w:sz w:val="22"/>
        </w:rPr>
        <w:t>SEXTA: DERECHO DE SEPARACIÓN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socios disidentes que no estén de acuerdo con la transformación tienen derecho a separarse de la sociedad y exigir el reembolso del valor de sus aportaciones, conforme a último balance aprobado, ejercitando ese derecho dentro de [#] días siguientes a la asamblea (Art. 229 C.Com).</w:t>
      </w:r>
    </w:p>
    <w:p>
      <w:pPr>
        <w:jc w:val="left"/>
      </w:pPr>
      <w:r>
        <w:rPr>
          <w:b/>
          <w:color w:val="2E4E7C"/>
          <w:sz w:val="22"/>
        </w:rPr>
        <w:t>SÉPTIMA: DERECHO DE OPOSICIÓN DE ACREEDORES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publicarán tres edictos en el DCA con intervalo de ocho días. Los acreedores podrán oponerse dentro de dos meses si la transformación afecta sus derechos.</w:t>
      </w:r>
    </w:p>
    <w:p>
      <w:pPr>
        <w:jc w:val="left"/>
      </w:pPr>
      <w:r>
        <w:rPr>
          <w:b/>
          <w:color w:val="2E4E7C"/>
          <w:sz w:val="22"/>
        </w:rPr>
        <w:t>OCTAVA: INSCRIPCIÓN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acuerdo se inscribirá en el Registro Mercantil. Se notificará a SAT (cambio en RTU), IGSS, Municipalidades y demás autoridades.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REORGANIZACIÓN POST-TRANSFORMACIÓN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Posteriormente a la transformación, se ejecutarán: (a) aumento de capital; (b) designación de nuevos órganos conforme al nuevo tipo; (c) modificación de estatutos secundarios.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SOCIOS / ACCIONISTAS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ADMINISTRADOR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NOTARIO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Art. 262 C.Com.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transformación es un cambio de tipo societario que conserva la persona jurídica.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Requiere escritura pública e inscripción en RM.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Tres edictos en DCA con intervalo de 8 días.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oposición de acreedores: 2 meses.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Derecho de separación de socios disidentes.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Mantenimiento del NIT — la SAT debe actualizar la inscripción.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Fiscalmente: neutral si solo cambia el tipo, sin disolución ni transferencia de patrimonio (criterio SAT recomendable).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se transforma de S. de R.L. (máx. 20 socios) a S.A. (sin límite), puede facilitar futuras emisiones y entrada de inversionistas.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[TIPO ORIGINAL]</w:t>
            </w:r>
          </w:p>
        </w:tc>
        <w:tc>
          <w:tcPr>
            <w:tcW w:type="dxa" w:w="4703"/>
          </w:tcPr>
          <w:p>
            <w:r>
              <w:t>Forma social anterior (ej. S. de R.L.).</w:t>
            </w:r>
          </w:p>
        </w:tc>
      </w:tr>
      <w:tr>
        <w:tc>
          <w:tcPr>
            <w:tcW w:type="dxa" w:w="4703"/>
          </w:tcPr>
          <w:p>
            <w:r>
              <w:t>[NUEVO TIPO]</w:t>
            </w:r>
          </w:p>
        </w:tc>
        <w:tc>
          <w:tcPr>
            <w:tcW w:type="dxa" w:w="4703"/>
          </w:tcPr>
          <w:p>
            <w:r>
              <w:t>Forma social después de la transformación (ej. S.A.).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Asamblea Extraordinaria</w:t>
      </w:r>
    </w:p>
    <w:p>
      <w:r>
        <w:rPr>
          <w:rFonts w:ascii="Calibri" w:hAnsi="Calibri"/>
          <w:b w:val="0"/>
          <w:i w:val="0"/>
          <w:sz w:val="21"/>
        </w:rPr>
        <w:t>☐  Quórum y mayoría conforme al pacto social actual</w:t>
      </w:r>
    </w:p>
    <w:p>
      <w:r>
        <w:rPr>
          <w:rFonts w:ascii="Calibri" w:hAnsi="Calibri"/>
          <w:b w:val="0"/>
          <w:i w:val="0"/>
          <w:sz w:val="21"/>
        </w:rPr>
        <w:t>☐  Balance de transformación auditado</w:t>
      </w:r>
    </w:p>
    <w:p>
      <w:r>
        <w:rPr>
          <w:rFonts w:ascii="Calibri" w:hAnsi="Calibri"/>
          <w:b w:val="0"/>
          <w:i w:val="0"/>
          <w:sz w:val="21"/>
        </w:rPr>
        <w:t>☐  Tres edictos en DCA</w:t>
      </w:r>
    </w:p>
    <w:p>
      <w:r>
        <w:rPr>
          <w:rFonts w:ascii="Calibri" w:hAnsi="Calibri"/>
          <w:b w:val="0"/>
          <w:i w:val="0"/>
          <w:sz w:val="21"/>
        </w:rPr>
        <w:t>☐  Resolución de oposiciones (si las hubiere)</w:t>
      </w:r>
    </w:p>
    <w:p>
      <w:r>
        <w:rPr>
          <w:rFonts w:ascii="Calibri" w:hAnsi="Calibri"/>
          <w:b w:val="0"/>
          <w:i w:val="0"/>
          <w:sz w:val="21"/>
        </w:rPr>
        <w:t>☐  Inscripción en RM</w:t>
      </w:r>
    </w:p>
    <w:p>
      <w:r>
        <w:rPr>
          <w:rFonts w:ascii="Calibri" w:hAnsi="Calibri"/>
          <w:b w:val="0"/>
          <w:i w:val="0"/>
          <w:sz w:val="21"/>
        </w:rPr>
        <w:t>☐  Actualización NIT/RTU</w:t>
      </w:r>
    </w:p>
    <w:p>
      <w:r>
        <w:rPr>
          <w:rFonts w:ascii="Calibri" w:hAnsi="Calibri"/>
          <w:b w:val="0"/>
          <w:i w:val="0"/>
          <w:sz w:val="21"/>
        </w:rPr>
        <w:t>☐  Comunicación a IGSS, Mintrab</w:t>
      </w:r>
    </w:p>
    <w:p>
      <w:r>
        <w:rPr>
          <w:rFonts w:ascii="Calibri" w:hAnsi="Calibri"/>
          <w:b w:val="0"/>
          <w:i w:val="0"/>
          <w:sz w:val="21"/>
        </w:rPr>
        <w:t>☐  Verificación que el nuevo tipo cumple sus requisitos (capital, órganos, etc.)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