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COMPRAVENTA DE ACCIONES (SPA)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autonomía contractual + Código de Comercio sobre acciones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VENDEDOR es titular de [#] acciones nominativas que representan el [#]% del capital social de [SOCIEDAD OBJETIVO], S.A. (la 'Sociedad').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COMPRADOR desea adquirir dichas acciones en los términos del presente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se ha realizado due diligence cuyas conclusiones se reflejan en este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vende y EL COMPRADOR compra [#] acciones nominativas, números [DESDE X HASTA Y], representativas del [#]% del capital pagado de la Sociedad, libres de todo gravamen, prenda, embargo o limitación.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total de venta es Q[MONTO] ([MONTO EN LETRAS]), pagaderos así: (a) Q[MONTO] al cierre (closing); (b) Q[MONTO] retenido en escrow durante [#] meses como garantía de R&amp;W; (c) Q[MONTO] como pago contingente (earn-out) sujeto al cumplimiento de hitos descritos en el Anexo.</w:t>
      </w:r>
    </w:p>
    <w:p>
      <w:pPr>
        <w:jc w:val="left"/>
      </w:pPr>
      <w:r>
        <w:rPr>
          <w:b/>
          <w:color w:val="2E4E7C"/>
          <w:sz w:val="22"/>
        </w:rPr>
        <w:t>TERCERA: CONDICIONES PRECEDENTES AL CIERRE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cierre está sujeto a: (a) due diligence satisfactorio; (b) autorizaciones regulatorias (si aplica: SIB, SAT, otras); (c) no haya ocurrido un Cambio Material Adverso; (d) representaciones y garantías sean ciertas; (e) consentimiento de terceros en contratos con cláusulas de control.</w:t>
      </w:r>
    </w:p>
    <w:p>
      <w:pPr>
        <w:jc w:val="left"/>
      </w:pPr>
      <w:r>
        <w:rPr>
          <w:b/>
          <w:color w:val="2E4E7C"/>
          <w:sz w:val="22"/>
        </w:rPr>
        <w:t>CUARTA: DECLARACIONES Y GARANTÍAS (R&amp;W)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declara y garantiza: (a) titularidad y libre disposición de las acciones; (b) las acciones están totalmente suscritas y pagadas; (c) la Sociedad está debidamente constituida y vigente; (d) los estados financieros reflejan fielmente la situación; (e) no hay pasivos ocultos ni contingencias materiales no reveladas; (f) cumplimiento sustancial de leyes; (g) no hay litigios materiales pendientes salvo los listados; (h) no hay deuda fiscal pendiente; (i) propiedad de activos clave; (j) cumplimiento laboral y de IGSS.</w:t>
      </w:r>
    </w:p>
    <w:p>
      <w:pPr>
        <w:jc w:val="left"/>
      </w:pPr>
      <w:r>
        <w:rPr>
          <w:b/>
          <w:color w:val="2E4E7C"/>
          <w:sz w:val="22"/>
        </w:rPr>
        <w:t>QUINTA: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indemnizará a EL COMPRADOR por: (a) incumplimiento de R&amp;W; (b) pasivos no revelados; (c) contingencias fiscales pre-cierre. Cap máximo: [#]% del precio. Deducible: [#]% del precio. Período de reclamación: [#] meses (R&amp;W generales); [#] años (fiscales, laborales, ambientales); ilimitado para fundamentales (título, capacidad).</w:t>
      </w:r>
    </w:p>
    <w:p>
      <w:pPr>
        <w:jc w:val="left"/>
      </w:pPr>
      <w:r>
        <w:rPr>
          <w:b/>
          <w:color w:val="2E4E7C"/>
          <w:sz w:val="22"/>
        </w:rPr>
        <w:t>SEXTA: PACTO DE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se abstendrá, por [#] años desde el cierre, de competir directa o indirectamente con la Sociedad en [TERRITORIO]. La contraprestación está incluida en el precio.</w:t>
      </w:r>
    </w:p>
    <w:p>
      <w:pPr>
        <w:jc w:val="left"/>
      </w:pPr>
      <w:r>
        <w:rPr>
          <w:b/>
          <w:color w:val="2E4E7C"/>
          <w:sz w:val="22"/>
        </w:rPr>
        <w:t>SÉPTIMA: OBLIGACIONES INTERINAS (PRE-CIERRE)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Entre la firma y el cierre, EL VENDEDOR mantendrá la Sociedad operando en curso ordinario, sin actos extraordinarios (dividendos, endeudamiento, contratación, enajenación de activos &gt; Q[MONTO]) sin consentimiento de EL COMPRADOR.</w:t>
      </w:r>
    </w:p>
    <w:p>
      <w:pPr>
        <w:jc w:val="left"/>
      </w:pPr>
      <w:r>
        <w:rPr>
          <w:b/>
          <w:color w:val="2E4E7C"/>
          <w:sz w:val="22"/>
        </w:rPr>
        <w:t>OCTAVA: CIERRE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cierre se efectuará el [FECHA]. En el cierre se: (a) entregan los títulos endosados a favor de EL COMPRADOR; (b) actualiza el Libro de Registro de Acciones; (c) firma acta de cambio de directores; (d) realiza el pago; (e) firman documentos accesorios.</w:t>
      </w:r>
    </w:p>
    <w:p>
      <w:pPr>
        <w:jc w:val="left"/>
      </w:pPr>
      <w:r>
        <w:rPr>
          <w:b/>
          <w:color w:val="2E4E7C"/>
          <w:sz w:val="22"/>
        </w:rPr>
        <w:t>NOVENA: DOCUMENTACIÓN POST-CIERRE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Tras el cierre: actualización en RM si hay cambios de directores; comunicación a SAT, IGSS y demás autoridades; entrega de documentación corporativa y operativa.</w:t>
      </w:r>
    </w:p>
    <w:p>
      <w:pPr>
        <w:jc w:val="left"/>
      </w:pPr>
      <w:r>
        <w:rPr>
          <w:b/>
          <w:color w:val="2E4E7C"/>
          <w:sz w:val="22"/>
        </w:rPr>
        <w:t>DÉCIMA: ESCROW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del precio se depositará en cuenta de escrow administrada por [BANCO / NOTARIO] durante [#] meses para responder por R&amp;W. Mecanismo de liberación según anexo.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MATERIAL ADVERSE CHANGE (MAC)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entre la firma y el cierre ocurre un evento que afecte materialmente a la Sociedad (definido en el Anexo MAC), EL COMPRADOR podrá rescindir sin penalidad.</w:t>
      </w:r>
    </w:p>
    <w:p>
      <w:pPr>
        <w:jc w:val="left"/>
      </w:pPr>
      <w:r>
        <w:rPr>
          <w:b/>
          <w:color w:val="2E4E7C"/>
          <w:sz w:val="22"/>
        </w:rPr>
        <w:t>[OPCIONAL] LOCK-UP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no podrá adquirir acciones de la Sociedad durante [#] años posteriores al cierre.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Aplican supletoriamente Código de Comercio (transmisión de acciones), Código Civil (compraventa) y autonomía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Acciones nominativas se transfieren por ENDOSO del título + inscripción en el Libro de Registro de Acciones (Art. 119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que sea oponible a la Sociedad, debe inscribirse en el Libro de Acciones.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la venta de acciones causa ganancia de capital (10% ISR sobre ganancia, Art. 91 Ley de Actualización Tributaria Dto. 10-2012).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vendedor es no residente, posible retención en la fuente.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Anti-lavado: reportar a UAF según monto.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Sociedad es regulada (banco, seguros, telecomunicaciones, etc.), requiere autorización previa del regulador.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Due diligence legal, financiera, fiscal, laboral y ambiental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seguros de R&amp;W (M&amp;A insurance) en transacciones grandes.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[SPA]</w:t>
            </w:r>
          </w:p>
        </w:tc>
        <w:tc>
          <w:tcPr>
            <w:tcW w:type="dxa" w:w="4703"/>
          </w:tcPr>
          <w:p>
            <w:r>
              <w:t>Share Purchase Agreement.</w:t>
            </w:r>
          </w:p>
        </w:tc>
      </w:tr>
      <w:tr>
        <w:tc>
          <w:tcPr>
            <w:tcW w:type="dxa" w:w="4703"/>
          </w:tcPr>
          <w:p>
            <w:r>
              <w:t>[R&amp;W]</w:t>
            </w:r>
          </w:p>
        </w:tc>
        <w:tc>
          <w:tcPr>
            <w:tcW w:type="dxa" w:w="4703"/>
          </w:tcPr>
          <w:p>
            <w:r>
              <w:t>Representations and Warranties — declaraciones y garantías.</w:t>
            </w:r>
          </w:p>
        </w:tc>
      </w:tr>
      <w:tr>
        <w:tc>
          <w:tcPr>
            <w:tcW w:type="dxa" w:w="4703"/>
          </w:tcPr>
          <w:p>
            <w:r>
              <w:t>[ESCROW]</w:t>
            </w:r>
          </w:p>
        </w:tc>
        <w:tc>
          <w:tcPr>
            <w:tcW w:type="dxa" w:w="4703"/>
          </w:tcPr>
          <w:p>
            <w:r>
              <w:t>Depósito en garantía de un tercero.</w:t>
            </w:r>
          </w:p>
        </w:tc>
      </w:tr>
      <w:tr>
        <w:tc>
          <w:tcPr>
            <w:tcW w:type="dxa" w:w="4703"/>
          </w:tcPr>
          <w:p>
            <w:r>
              <w:t>[EARN-OUT]</w:t>
            </w:r>
          </w:p>
        </w:tc>
        <w:tc>
          <w:tcPr>
            <w:tcW w:type="dxa" w:w="4703"/>
          </w:tcPr>
          <w:p>
            <w:r>
              <w:t>Parte del precio condicionada a resultados futuros.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Due diligence completo</w:t>
      </w:r>
    </w:p>
    <w:p>
      <w:r>
        <w:rPr>
          <w:rFonts w:ascii="Calibri" w:hAnsi="Calibri"/>
          <w:b w:val="0"/>
          <w:i w:val="0"/>
          <w:sz w:val="21"/>
        </w:rPr>
        <w:t>☐  Title check de las acciones (Libro de Acciones)</w:t>
      </w:r>
    </w:p>
    <w:p>
      <w:r>
        <w:rPr>
          <w:rFonts w:ascii="Calibri" w:hAnsi="Calibri"/>
          <w:b w:val="0"/>
          <w:i w:val="0"/>
          <w:sz w:val="21"/>
        </w:rPr>
        <w:t>☐  Estados financieros auditados de la Sociedad</w:t>
      </w:r>
    </w:p>
    <w:p>
      <w:r>
        <w:rPr>
          <w:rFonts w:ascii="Calibri" w:hAnsi="Calibri"/>
          <w:b w:val="0"/>
          <w:i w:val="0"/>
          <w:sz w:val="21"/>
        </w:rPr>
        <w:t>☐  Análisis fiscal de la transacción</w:t>
      </w:r>
    </w:p>
    <w:p>
      <w:r>
        <w:rPr>
          <w:rFonts w:ascii="Calibri" w:hAnsi="Calibri"/>
          <w:b w:val="0"/>
          <w:i w:val="0"/>
          <w:sz w:val="21"/>
        </w:rPr>
        <w:t>☐  Autorizaciones regulatorias</w:t>
      </w:r>
    </w:p>
    <w:p>
      <w:r>
        <w:rPr>
          <w:rFonts w:ascii="Calibri" w:hAnsi="Calibri"/>
          <w:b w:val="0"/>
          <w:i w:val="0"/>
          <w:sz w:val="21"/>
        </w:rPr>
        <w:t>☐  Reporte UAF</w:t>
      </w:r>
    </w:p>
    <w:p>
      <w:r>
        <w:rPr>
          <w:rFonts w:ascii="Calibri" w:hAnsi="Calibri"/>
          <w:b w:val="0"/>
          <w:i w:val="0"/>
          <w:sz w:val="21"/>
        </w:rPr>
        <w:t>☐  Plan de integración post-cierre</w:t>
      </w:r>
    </w:p>
    <w:p>
      <w:r>
        <w:rPr>
          <w:rFonts w:ascii="Calibri" w:hAnsi="Calibri"/>
          <w:b w:val="0"/>
          <w:i w:val="0"/>
          <w:sz w:val="21"/>
        </w:rPr>
        <w:t>☐  Documentos del cierre: títulos endosados, actas, finiquitos</w:t>
      </w:r>
    </w:p>
    <w:p>
      <w:r>
        <w:rPr>
          <w:rFonts w:ascii="Calibri" w:hAnsi="Calibri"/>
          <w:b w:val="0"/>
          <w:i w:val="0"/>
          <w:sz w:val="21"/>
        </w:rPr>
        <w:t>☐  Cuenta de escrow constituida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