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ENTRE ACCIONISTAS (SHAREHOLDERS AGREEMENT)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Contrato accesorio al pacto social —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'ACCIONISTA 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'ACCIONISTA B'.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las partes son accionistas de [RAZÓN SOCIAL], S.A. (la 'Sociedad') con las siguientes participaciones: ACCIONISTA A [#]%, ACCIONISTA B [#]%.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desean regular sus relaciones como accionistas, el gobierno de la Sociedad y las restricciones a la transferencia de acciones.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GOBIERNO DE LA SOCIEDAD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Consejo de Administración se integrará por [#] miembros: [#] designados por ACCIONISTA A y [#] por ACCIONISTA B. El Presidente del Consejo se elegirá por [mayoría / rotación anual]. Las decisiones se tomarán por [mayoría simple / mayoría calificada].</w:t>
      </w:r>
    </w:p>
    <w:p>
      <w:pPr>
        <w:jc w:val="left"/>
      </w:pPr>
      <w:r>
        <w:rPr>
          <w:b/>
          <w:color w:val="2E4E7C"/>
          <w:sz w:val="22"/>
        </w:rPr>
        <w:t>SEGUNDA: MATERIAS RESERVADAS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siguientes decisiones requerirán aprobación UNÁNIME de los accionistas: (a) modificación del pacto social; (b) aumento o disminución de capital; (c) emisión de nuevas acciones; (d) endeudamiento superior a Q[MONTO]; (e) inversión o enajenación de activos superior a Q[MONTO]; (f) cambio de objeto; (g) transformación, fusión, escisión, disolución; (h) cambio de auditores; (i) decisión sobre dividendos; (j) celebración de transacciones con partes relacionadas.</w:t>
      </w:r>
    </w:p>
    <w:p>
      <w:pPr>
        <w:jc w:val="left"/>
      </w:pPr>
      <w:r>
        <w:rPr>
          <w:b/>
          <w:color w:val="2E4E7C"/>
          <w:sz w:val="22"/>
        </w:rPr>
        <w:t>TERCERA: DERECHO DE PREFERENCIA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un accionista desea transferir sus acciones a un tercero, deberá ofrecerlas primero al otro accionista, con notificación que indique: (i) número de acciones; (ii) precio; (iii) condiciones de pago; (iv) identidad del tercero interesado. El accionista no oferente tendrá [#] días para aceptar la compra en idénticos términos.</w:t>
      </w:r>
    </w:p>
    <w:p>
      <w:pPr>
        <w:jc w:val="left"/>
      </w:pPr>
      <w:r>
        <w:rPr>
          <w:b/>
          <w:color w:val="2E4E7C"/>
          <w:sz w:val="22"/>
        </w:rPr>
        <w:t>CUARTA: DERECHO DE ACOMPAÑAMIENTO (TAG-ALONG)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ACCIONISTA A vende sus acciones a un tercero (ofreciendo más del [#]%), ACCIONISTA B tendrá derecho a acompañar la venta en la misma proporción y condiciones.</w:t>
      </w:r>
    </w:p>
    <w:p>
      <w:pPr>
        <w:jc w:val="left"/>
      </w:pPr>
      <w:r>
        <w:rPr>
          <w:b/>
          <w:color w:val="2E4E7C"/>
          <w:sz w:val="22"/>
        </w:rPr>
        <w:t>QUINTA: DERECHO DE ARRASTRE (DRAG-ALONG)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un accionista que represente al menos el [#]% del capital recibe oferta de compra del 100% de las acciones, podrá obligar al otro accionista a vender en las mismas condiciones (drag-along).</w:t>
      </w:r>
    </w:p>
    <w:p>
      <w:pPr>
        <w:jc w:val="left"/>
      </w:pPr>
      <w:r>
        <w:rPr>
          <w:b/>
          <w:color w:val="2E4E7C"/>
          <w:sz w:val="22"/>
        </w:rPr>
        <w:t>SEXTA: DEADLOCK (BLOQUEO)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empate persistente en decisiones críticas del Consejo o Asamblea, se aplicará: (a) negociación de buena fe por [#] días; (b) mediación; (c) opción de compra recíproca (buy-sell shotgun): una parte fija precio y la otra elige comprar o vender a ese precio; o (d) venta de la Sociedad a un tercero.</w:t>
      </w:r>
    </w:p>
    <w:p>
      <w:pPr>
        <w:jc w:val="left"/>
      </w:pPr>
      <w:r>
        <w:rPr>
          <w:b/>
          <w:color w:val="2E4E7C"/>
          <w:sz w:val="22"/>
        </w:rPr>
        <w:t>SÉPTIMA: RESTRICCIONES A LA TRANSFERENCIA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Durante los primeros [#] años (lock-up), los accionistas no podrán transferir sus acciones sin consentimiento del otro. Posteriormente, solo conforme a derecho de preferencia y tag-along.</w:t>
      </w:r>
    </w:p>
    <w:p>
      <w:pPr>
        <w:jc w:val="left"/>
      </w:pPr>
      <w:r>
        <w:rPr>
          <w:b/>
          <w:color w:val="2E4E7C"/>
          <w:sz w:val="22"/>
        </w:rPr>
        <w:t>OCTAVA: CLÁUSULA ANTI-DILUCIÓN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aumento de capital con emisión de nuevas acciones a precio inferior al valor en libros, los accionistas tendrán derecho a suscribir las nuevas acciones para mantener su participación.</w:t>
      </w:r>
    </w:p>
    <w:p>
      <w:pPr>
        <w:jc w:val="left"/>
      </w:pPr>
      <w:r>
        <w:rPr>
          <w:b/>
          <w:color w:val="2E4E7C"/>
          <w:sz w:val="22"/>
        </w:rPr>
        <w:t>NOVENA: NO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Durante la vigencia y por [#] años posteriores, los accionistas no competirán directa o indirectamente con la Sociedad en [TERRITORIO].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Información de la Sociedad obtenida en calidad de accionista permanece confidencial; obligación subsiste 5 años post-salida.</w:t>
      </w:r>
    </w:p>
    <w:p>
      <w:pPr>
        <w:jc w:val="left"/>
      </w:pPr>
      <w:r>
        <w:rPr>
          <w:b/>
          <w:color w:val="2E4E7C"/>
          <w:sz w:val="22"/>
        </w:rPr>
        <w:t>DÉCIMA PRIMERA: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convenio rige mientras las partes mantengan acciones en la Sociedad.</w:t>
      </w:r>
    </w:p>
    <w:p>
      <w:pPr>
        <w:jc w:val="left"/>
      </w:pPr>
      <w:r>
        <w:rPr>
          <w:b/>
          <w:color w:val="2E4E7C"/>
          <w:sz w:val="22"/>
        </w:rPr>
        <w:t>DÉCIMA SEGUNDA: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TERCERA: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CUARTA: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QUINTA: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SEXTA: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SÉPTIMA: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OCTAVA: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OPCIÓN DE COMPRA EN CASO DE EVENTO DE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un accionista incurre en evento de incumplimiento (fraude, dolo, conflicto grave), el otro tendrá opción de comprar sus acciones al [#]% de valor en libros.</w:t>
      </w:r>
    </w:p>
    <w:p>
      <w:pPr>
        <w:jc w:val="left"/>
      </w:pPr>
      <w:r>
        <w:rPr>
          <w:b/>
          <w:color w:val="2E4E7C"/>
          <w:sz w:val="22"/>
        </w:rPr>
        <w:t>[OPCIONAL] EXIT EVENT (LIQUIDEZ)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transcurren [#] años sin distribución de dividendos significativos, cualquier accionista podrá solicitar un evento de liquidez: venta de la Sociedad, IPO, o recompra obligatoria.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ACCIONISTA 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ACCIONISTA B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Contrato accesorio al pacto social — opera entre las partes pero no es oponible directamente a la Sociedad ni a terceros si no se incorpora al pacto social.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mayor oponibilidad: incluir en los estatutos las restricciones a la transferencia (anotación en Libro de Acciones).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Conforme a autonomía contractual (Art. 1517 CC, principios mercantiles).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Cláusulas de drag-along y tag-along son válidas y exigibles en GT pese a no estar expresamente reguladas.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Cláusulas de no competencia entre accionistas: razonables en alcance, tiempo y territorio.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Buy-sell shotgun es práctica aceptada para resolver deadlocks.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de restricciones en el Libro de Acciones de la Sociedad para oponibilidad.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[TAG-ALONG]</w:t>
            </w:r>
          </w:p>
        </w:tc>
        <w:tc>
          <w:tcPr>
            <w:tcW w:type="dxa" w:w="4703"/>
          </w:tcPr>
          <w:p>
            <w:r>
              <w:t>Derecho a acompañar la venta del accionista mayoritario.</w:t>
            </w:r>
          </w:p>
        </w:tc>
      </w:tr>
      <w:tr>
        <w:tc>
          <w:tcPr>
            <w:tcW w:type="dxa" w:w="4703"/>
          </w:tcPr>
          <w:p>
            <w:r>
              <w:t>[DRAG-ALONG]</w:t>
            </w:r>
          </w:p>
        </w:tc>
        <w:tc>
          <w:tcPr>
            <w:tcW w:type="dxa" w:w="4703"/>
          </w:tcPr>
          <w:p>
            <w:r>
              <w:t>Derecho de arrastrar al minoritario en venta del 100%.</w:t>
            </w:r>
          </w:p>
        </w:tc>
      </w:tr>
      <w:tr>
        <w:tc>
          <w:tcPr>
            <w:tcW w:type="dxa" w:w="4703"/>
          </w:tcPr>
          <w:p>
            <w:r>
              <w:t>[DEADLOCK]</w:t>
            </w:r>
          </w:p>
        </w:tc>
        <w:tc>
          <w:tcPr>
            <w:tcW w:type="dxa" w:w="4703"/>
          </w:tcPr>
          <w:p>
            <w:r>
              <w:t>Empate persistente en órganos de gobierno.</w:t>
            </w:r>
          </w:p>
        </w:tc>
      </w:tr>
      <w:tr>
        <w:tc>
          <w:tcPr>
            <w:tcW w:type="dxa" w:w="4703"/>
          </w:tcPr>
          <w:p>
            <w:r>
              <w:t>[SHOTGUN]</w:t>
            </w:r>
          </w:p>
        </w:tc>
        <w:tc>
          <w:tcPr>
            <w:tcW w:type="dxa" w:w="4703"/>
          </w:tcPr>
          <w:p>
            <w:r>
              <w:t>Mecanismo de comprar-o-vender en empate.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clara de las partes y participaciones</w:t>
      </w:r>
    </w:p>
    <w:p>
      <w:r>
        <w:rPr>
          <w:rFonts w:ascii="Calibri" w:hAnsi="Calibri"/>
          <w:b w:val="0"/>
          <w:i w:val="0"/>
          <w:sz w:val="21"/>
        </w:rPr>
        <w:t>☐  Anexo con estructura accionaria actual</w:t>
      </w:r>
    </w:p>
    <w:p>
      <w:r>
        <w:rPr>
          <w:rFonts w:ascii="Calibri" w:hAnsi="Calibri"/>
          <w:b w:val="0"/>
          <w:i w:val="0"/>
          <w:sz w:val="21"/>
        </w:rPr>
        <w:t>☐  Plan de negocio de la Sociedad</w:t>
      </w:r>
    </w:p>
    <w:p>
      <w:r>
        <w:rPr>
          <w:rFonts w:ascii="Calibri" w:hAnsi="Calibri"/>
          <w:b w:val="0"/>
          <w:i w:val="0"/>
          <w:sz w:val="21"/>
        </w:rPr>
        <w:t>☐  Definición de matriz de decisiones reservadas</w:t>
      </w:r>
    </w:p>
    <w:p>
      <w:r>
        <w:rPr>
          <w:rFonts w:ascii="Calibri" w:hAnsi="Calibri"/>
          <w:b w:val="0"/>
          <w:i w:val="0"/>
          <w:sz w:val="21"/>
        </w:rPr>
        <w:t>☐  Procedimientos de notificación</w:t>
      </w:r>
    </w:p>
    <w:p>
      <w:r>
        <w:rPr>
          <w:rFonts w:ascii="Calibri" w:hAnsi="Calibri"/>
          <w:b w:val="0"/>
          <w:i w:val="0"/>
          <w:sz w:val="21"/>
        </w:rPr>
        <w:t>☐  Inscripción de restricciones en Libro de Acciones</w:t>
      </w:r>
    </w:p>
    <w:p>
      <w:r>
        <w:rPr>
          <w:rFonts w:ascii="Calibri" w:hAnsi="Calibri"/>
          <w:b w:val="0"/>
          <w:i w:val="0"/>
          <w:sz w:val="21"/>
        </w:rPr>
        <w:t>☐  Validación con asesores fiscales y regulatorios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