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STOCK OPTIONS PARA EMPLEADOS CLAVE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Plan de compensación con opciones sobre acciones —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SOCIEDAD'.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BENEFICIARIO'.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 SOCIEDAD ha aprobado un Plan de Stock Options para incentivar la retención y desempeño de empleados clave.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BENEFICIARIO es empleado clave designado para participar en dicho plan.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OTORGAMIENTO DE OPCIONES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otorga a EL BENEFICIARIO opciones para adquirir hasta [#] acciones nominativas de la Sociedad, al precio de ejercicio de Q[STRIKE] por acción (el 'Precio de Ejercicio'), sujeto a los términos del Plan y este acuerdo.</w:t>
      </w:r>
    </w:p>
    <w:p>
      <w:pPr>
        <w:jc w:val="left"/>
      </w:pPr>
      <w:r>
        <w:rPr>
          <w:b/>
          <w:color w:val="2E4E7C"/>
          <w:sz w:val="22"/>
        </w:rPr>
        <w:t>SEGUNDA: VESTING (DEVENGO)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opciones se devengan así: (a) Cliff: ninguna opción se devenga durante los primeros 12 meses; (b) tras 12 meses, se devenga el 25% (cliff); (c) el saldo se devenga mensualmente en proporciones iguales durante los siguientes 36 meses. Vesting completo a 48 meses (plan típico 4 años con 1 año de cliff).</w:t>
      </w:r>
    </w:p>
    <w:p>
      <w:pPr>
        <w:jc w:val="left"/>
      </w:pPr>
      <w:r>
        <w:rPr>
          <w:b/>
          <w:color w:val="2E4E7C"/>
          <w:sz w:val="22"/>
        </w:rPr>
        <w:t>TERCERA: CONDICIÓN DE EMPLEO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vesting está condicionado a que EL BENEFICIARIO mantenga relación de empleo continua con LA SOCIEDAD. La terminación de la relación detiene el vesting; las opciones devengadas se mantienen ejercibles dentro del plazo post-terminación.</w:t>
      </w:r>
    </w:p>
    <w:p>
      <w:pPr>
        <w:jc w:val="left"/>
      </w:pPr>
      <w:r>
        <w:rPr>
          <w:b/>
          <w:color w:val="2E4E7C"/>
          <w:sz w:val="22"/>
        </w:rPr>
        <w:t>CUARTA: PLAZO DE EJERCICIO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BENEFICIARIO puede ejercer sus opciones devengadas durante: (a) la vigencia del empleo, hasta 10 años desde la fecha de otorgamiento; (b) tras terminación voluntaria u ordinaria, hasta 90 días después; (c) tras terminación por causa injustificada, hasta 12 meses; (d) tras fallecimiento o incapacidad, hasta 24 meses.</w:t>
      </w:r>
    </w:p>
    <w:p>
      <w:pPr>
        <w:jc w:val="left"/>
      </w:pPr>
      <w:r>
        <w:rPr>
          <w:b/>
          <w:color w:val="2E4E7C"/>
          <w:sz w:val="22"/>
        </w:rPr>
        <w:t>QUINTA: CAMBIO DE CONTROL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caso de cambio de control de LA SOCIEDAD (venta, fusión, IPO), se aplicará vesting acelerado: el [50% / 100%] del saldo no devengado se devengará inmediatamente.</w:t>
      </w:r>
    </w:p>
    <w:p>
      <w:pPr>
        <w:jc w:val="left"/>
      </w:pPr>
      <w:r>
        <w:rPr>
          <w:b/>
          <w:color w:val="2E4E7C"/>
          <w:sz w:val="22"/>
        </w:rPr>
        <w:t>SEXTA: FORMA DE EJERCICIO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ejercicio se realiza mediante notificación escrita a LA SOCIEDAD, indicando número de opciones a ejercer, y pago simultáneo del Precio de Ejercicio. Se podrá ejercer mediante: (a) efectivo; (b) cashless exercise (entrega de acciones que cubren el strike); (c) net exercise (entrega del número equivalente de acciones).</w:t>
      </w:r>
    </w:p>
    <w:p>
      <w:pPr>
        <w:jc w:val="left"/>
      </w:pPr>
      <w:r>
        <w:rPr>
          <w:b/>
          <w:color w:val="2E4E7C"/>
          <w:sz w:val="22"/>
        </w:rPr>
        <w:t>SÉPTIMA: RESTRICCIONES POST-EJERCICIO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Una vez ejercidas y emitidas las acciones, éstas estarán sujetas a: (a) restricción de transferencia (right of first refusal a favor de la Sociedad); (b) drag-along; (c) lock-up de [#] meses en caso de IPO.</w:t>
      </w:r>
    </w:p>
    <w:p>
      <w:pPr>
        <w:jc w:val="left"/>
      </w:pPr>
      <w:r>
        <w:rPr>
          <w:b/>
          <w:color w:val="2E4E7C"/>
          <w:sz w:val="22"/>
        </w:rPr>
        <w:t>OCTAVA: CLAW-BACK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EL BENEFICIARIO incurre en mala conducta grave (fraude, dolo, competencia desleal, violación de confidencialidad), LA SOCIEDAD podrá recuperar las acciones ejercidas en los [#] meses previos al evento, devolviendo el Precio de Ejercicio.</w:t>
      </w:r>
    </w:p>
    <w:p>
      <w:pPr>
        <w:jc w:val="left"/>
      </w:pPr>
      <w:r>
        <w:rPr>
          <w:b/>
          <w:color w:val="2E4E7C"/>
          <w:sz w:val="22"/>
        </w:rPr>
        <w:t>NOVENA: DERECHOS COMO ACCIONISTA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BENEFICIARIO adquiere la calidad de accionista solo al ejercer las opciones y ser inscrito en el Libro de Registro. Antes del ejercicio, no tiene derechos políticos ni económicos sobre las acciones subyacentes.</w:t>
      </w:r>
    </w:p>
    <w:p>
      <w:pPr>
        <w:jc w:val="left"/>
      </w:pPr>
      <w:r>
        <w:rPr>
          <w:b/>
          <w:color w:val="2E4E7C"/>
          <w:sz w:val="22"/>
        </w:rPr>
        <w:t>DÉCIMA: AJUSTES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número de opciones y Precio de Ejercicio se ajustarán proporcionalmente en caso de splits, dividendos en acciones, o reestructuraciones de capital.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PHANTOM STOCK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Alternativamente, LA SOCIEDAD podrá liquidar las opciones en efectivo en lugar de entregar acciones, pagando el valor incremental al beneficiario.</w:t>
      </w:r>
    </w:p>
    <w:p>
      <w:pPr>
        <w:jc w:val="left"/>
      </w:pPr>
      <w:r>
        <w:rPr>
          <w:b/>
          <w:color w:val="2E4E7C"/>
          <w:sz w:val="22"/>
        </w:rPr>
        <w:t>[OPCIONAL] RSU (RESTRICTED STOCK UNITS)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beneficiario podrá recibir Restricted Stock Units que se convierten automáticamente en acciones al cumplir el vesting, sin necesidad de pagar strike.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SOCIEDAD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BENEFICIARIO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Stock Options no están expresamente regulados en GT — autonomía contractual.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acciones deben estar disponibles (capital autorizado no emitido) o emitirse por aumento de capital al ejercicio. Reservar acciones del 'pool' de opciones en el pacto social.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Tratamiento fiscal del BENEFICIARIO al ejercicio: la diferencia entre el FMV (fair market value) y el strike puede considerarse renta laboral o de capital — obtener criterio SAT.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ISR del beneficiario al ejercicio puede ser sustancial — implementar mecanismos de retención.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se considera salario para efectos de prestaciones laborales, pero podría tener tratamiento como ventaja económica (Art. 90 C.T.) — redactar con cuidado.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que el Plan general esté aprobado por Asamblea, y los acuerdos individuales por el Consejo o Comité de Compensación.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SOCIEDAD prevé un IPO, alinear cláusulas con prácticas de mercado.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[STRIKE / PRECIO DE EJERCICIO]</w:t>
            </w:r>
          </w:p>
        </w:tc>
        <w:tc>
          <w:tcPr>
            <w:tcW w:type="dxa" w:w="4703"/>
          </w:tcPr>
          <w:p>
            <w:r>
              <w:t>Precio al que el beneficiario puede comprar las acciones.</w:t>
            </w:r>
          </w:p>
        </w:tc>
      </w:tr>
      <w:tr>
        <w:tc>
          <w:tcPr>
            <w:tcW w:type="dxa" w:w="4703"/>
          </w:tcPr>
          <w:p>
            <w:r>
              <w:t>[VESTING]</w:t>
            </w:r>
          </w:p>
        </w:tc>
        <w:tc>
          <w:tcPr>
            <w:tcW w:type="dxa" w:w="4703"/>
          </w:tcPr>
          <w:p>
            <w:r>
              <w:t>Calendario de devengo de las opciones.</w:t>
            </w:r>
          </w:p>
        </w:tc>
      </w:tr>
      <w:tr>
        <w:tc>
          <w:tcPr>
            <w:tcW w:type="dxa" w:w="4703"/>
          </w:tcPr>
          <w:p>
            <w:r>
              <w:t>[CLIFF]</w:t>
            </w:r>
          </w:p>
        </w:tc>
        <w:tc>
          <w:tcPr>
            <w:tcW w:type="dxa" w:w="4703"/>
          </w:tcPr>
          <w:p>
            <w:r>
              <w:t>Período inicial sin devengo (típicamente 1 año).</w:t>
            </w:r>
          </w:p>
        </w:tc>
      </w:tr>
      <w:tr>
        <w:tc>
          <w:tcPr>
            <w:tcW w:type="dxa" w:w="4703"/>
          </w:tcPr>
          <w:p>
            <w:r>
              <w:t>[CHANGE OF CONTROL]</w:t>
            </w:r>
          </w:p>
        </w:tc>
        <w:tc>
          <w:tcPr>
            <w:tcW w:type="dxa" w:w="4703"/>
          </w:tcPr>
          <w:p>
            <w:r>
              <w:t>Cambio de propiedad o control de la Sociedad.</w:t>
            </w:r>
          </w:p>
        </w:tc>
      </w:tr>
      <w:tr>
        <w:tc>
          <w:tcPr>
            <w:tcW w:type="dxa" w:w="4703"/>
          </w:tcPr>
          <w:p>
            <w:r>
              <w:t>[CLAW-BACK]</w:t>
            </w:r>
          </w:p>
        </w:tc>
        <w:tc>
          <w:tcPr>
            <w:tcW w:type="dxa" w:w="4703"/>
          </w:tcPr>
          <w:p>
            <w:r>
              <w:t>Recuperación de acciones por mala conducta.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 de Stock Options aprobado por Asamblea</w:t>
      </w:r>
    </w:p>
    <w:p>
      <w:r>
        <w:rPr>
          <w:rFonts w:ascii="Calibri" w:hAnsi="Calibri"/>
          <w:b w:val="0"/>
          <w:i w:val="0"/>
          <w:sz w:val="21"/>
        </w:rPr>
        <w:t>☐  Reserva de acciones en pool del Plan</w:t>
      </w:r>
    </w:p>
    <w:p>
      <w:r>
        <w:rPr>
          <w:rFonts w:ascii="Calibri" w:hAnsi="Calibri"/>
          <w:b w:val="0"/>
          <w:i w:val="0"/>
          <w:sz w:val="21"/>
        </w:rPr>
        <w:t>☐  Designación del Comité administrador del Plan</w:t>
      </w:r>
    </w:p>
    <w:p>
      <w:r>
        <w:rPr>
          <w:rFonts w:ascii="Calibri" w:hAnsi="Calibri"/>
          <w:b w:val="0"/>
          <w:i w:val="0"/>
          <w:sz w:val="21"/>
        </w:rPr>
        <w:t>☐  Acuerdo individual firmado por el beneficiario</w:t>
      </w:r>
    </w:p>
    <w:p>
      <w:r>
        <w:rPr>
          <w:rFonts w:ascii="Calibri" w:hAnsi="Calibri"/>
          <w:b w:val="0"/>
          <w:i w:val="0"/>
          <w:sz w:val="21"/>
        </w:rPr>
        <w:t>☐  Comunicación al Consejo y al Libro de Actas</w:t>
      </w:r>
    </w:p>
    <w:p>
      <w:r>
        <w:rPr>
          <w:rFonts w:ascii="Calibri" w:hAnsi="Calibri"/>
          <w:b w:val="0"/>
          <w:i w:val="0"/>
          <w:sz w:val="21"/>
        </w:rPr>
        <w:t>☐  Coordinación con asesores fiscales</w:t>
      </w:r>
    </w:p>
    <w:p>
      <w:r>
        <w:rPr>
          <w:rFonts w:ascii="Calibri" w:hAnsi="Calibri"/>
          <w:b w:val="0"/>
          <w:i w:val="0"/>
          <w:sz w:val="21"/>
        </w:rPr>
        <w:t>☐  Política de comunicación interna del Plan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