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PaaS / IaaS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CLOUD'.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Plataforma o infraestructura como servicio.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[IaaS — VMs, almacenamiento, redes / PaaS — runtime, bases de datos]</w:t>
      </w:r>
    </w:p>
    <w:p>
      <w:pPr>
        <w:jc w:val="left"/>
      </w:pPr>
      <w:r>
        <w:rPr>
          <w:b/>
          <w:color w:val="2E4E7C"/>
          <w:sz w:val="22"/>
        </w:rPr>
        <w:t>SEGUNDA: RECURSOS COMPROMETIDOS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[CPU, RAM, almacenamiento, IOPS]</w:t>
      </w:r>
    </w:p>
    <w:p>
      <w:pPr>
        <w:jc w:val="left"/>
      </w:pPr>
      <w:r>
        <w:rPr>
          <w:b/>
          <w:color w:val="2E4E7C"/>
          <w:sz w:val="22"/>
        </w:rPr>
        <w:t>TERCERA: FACTURACIÓN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consumo / cuota fija / híbrido.</w:t>
      </w:r>
    </w:p>
    <w:p>
      <w:pPr>
        <w:jc w:val="left"/>
      </w:pPr>
      <w:r>
        <w:rPr>
          <w:b/>
          <w:color w:val="2E4E7C"/>
          <w:sz w:val="22"/>
        </w:rPr>
        <w:t>CUARTA: REGIÓN Y SOBERANÍA DE DATOS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Datacenter en [LOCACIÓN]; opciones de cumplimiento regulatorio.</w:t>
      </w:r>
    </w:p>
    <w:p>
      <w:pPr>
        <w:jc w:val="left"/>
      </w:pPr>
      <w:r>
        <w:rPr>
          <w:b/>
          <w:color w:val="2E4E7C"/>
          <w:sz w:val="22"/>
        </w:rPr>
        <w:t>QUINTA: SUPPORT TIERS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Basic, Standard, Premium con SLA escalonado.</w:t>
      </w:r>
    </w:p>
    <w:p>
      <w:pPr>
        <w:jc w:val="left"/>
      </w:pPr>
      <w:r>
        <w:rPr>
          <w:b/>
          <w:color w:val="2E4E7C"/>
          <w:sz w:val="22"/>
        </w:rPr>
        <w:t>SEXTA: BURSTING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Posibilidad de exceder recursos comprometidos con cargo variable.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RESERVED INSTANCES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Compromiso 1-3 años con descuento.</w:t>
      </w:r>
    </w:p>
    <w:p>
      <w:pPr>
        <w:jc w:val="left"/>
      </w:pPr>
      <w:r>
        <w:rPr>
          <w:b/>
          <w:color w:val="2E4E7C"/>
          <w:sz w:val="22"/>
        </w:rPr>
        <w:t>[OPCIONAL] SPOT INSTANCES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Recursos preemptibles bajo precio.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CLOUD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Hyperscalers: AWS, Azure, GCP, Oracle.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Localización de datos relevante para regulación.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shared responsibility de seguridad.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Costos variables — cuidar runaway costs.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[IaaS]</w:t>
            </w:r>
          </w:p>
        </w:tc>
        <w:tc>
          <w:tcPr>
            <w:tcW w:type="dxa" w:w="4703"/>
          </w:tcPr>
          <w:p>
            <w:r>
              <w:t>Infrastructure as a Service.</w:t>
            </w:r>
          </w:p>
        </w:tc>
      </w:tr>
      <w:tr>
        <w:tc>
          <w:tcPr>
            <w:tcW w:type="dxa" w:w="4703"/>
          </w:tcPr>
          <w:p>
            <w:r>
              <w:t>[PaaS]</w:t>
            </w:r>
          </w:p>
        </w:tc>
        <w:tc>
          <w:tcPr>
            <w:tcW w:type="dxa" w:w="4703"/>
          </w:tcPr>
          <w:p>
            <w:r>
              <w:t>Platform as a Service.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Capacity planning</w:t>
      </w:r>
    </w:p>
    <w:p>
      <w:r>
        <w:rPr>
          <w:rFonts w:ascii="Calibri" w:hAnsi="Calibri"/>
          <w:b w:val="0"/>
          <w:i w:val="0"/>
          <w:sz w:val="21"/>
        </w:rPr>
        <w:t>☐  Soberanía de datos requerida</w:t>
      </w:r>
    </w:p>
    <w:p>
      <w:r>
        <w:rPr>
          <w:rFonts w:ascii="Calibri" w:hAnsi="Calibri"/>
          <w:b w:val="0"/>
          <w:i w:val="0"/>
          <w:sz w:val="21"/>
        </w:rPr>
        <w:t>☐  Plan de migración</w:t>
      </w:r>
    </w:p>
    <w:p>
      <w:r>
        <w:rPr>
          <w:rFonts w:ascii="Calibri" w:hAnsi="Calibri"/>
          <w:b w:val="0"/>
          <w:i w:val="0"/>
          <w:sz w:val="21"/>
        </w:rPr>
        <w:t>☐  FinOps governance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