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NIVEL DE SERVICIO (SLA)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Compromiso medible de calidad del servicio.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MÉTRICAS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Disponibilidad: 99.9% mensual. Tiempo de respuesta: &lt; 200ms (P95). MTBF: 720h. MTTR: 4h.</w:t>
      </w:r>
    </w:p>
    <w:p>
      <w:pPr>
        <w:jc w:val="left"/>
      </w:pPr>
      <w:r>
        <w:rPr>
          <w:b/>
          <w:color w:val="2E4E7C"/>
          <w:sz w:val="22"/>
        </w:rPr>
        <w:t>SEGUNDA: FÓRMULA DE CÁLCULO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Disponibilidad = (Tiempo Total - Tiempo Caído) / Tiempo Total × 100%.</w:t>
      </w:r>
    </w:p>
    <w:p>
      <w:pPr>
        <w:jc w:val="left"/>
      </w:pPr>
      <w:r>
        <w:rPr>
          <w:b/>
          <w:color w:val="2E4E7C"/>
          <w:sz w:val="22"/>
        </w:rPr>
        <w:t>TERCERA: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Mantenimiento planificado (anunciado 7d antes), fuerza mayor, factores de terceros, acciones del cliente.</w:t>
      </w:r>
    </w:p>
    <w:p>
      <w:pPr>
        <w:jc w:val="left"/>
      </w:pPr>
      <w:r>
        <w:rPr>
          <w:b/>
          <w:color w:val="2E4E7C"/>
          <w:sz w:val="22"/>
        </w:rPr>
        <w:t>CUARTA: PENALIDADES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99-99.9%: 10% crédito. 95-99%: 25% crédito. &lt;95%: 50% crédito + derecho a rescisión.</w:t>
      </w:r>
    </w:p>
    <w:p>
      <w:pPr>
        <w:jc w:val="left"/>
      </w:pPr>
      <w:r>
        <w:rPr>
          <w:b/>
          <w:color w:val="2E4E7C"/>
          <w:sz w:val="22"/>
        </w:rPr>
        <w:t>QUINTA: REPORTES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Dashboard en tiempo real + reporte mensual.</w:t>
      </w:r>
    </w:p>
    <w:p>
      <w:pPr>
        <w:jc w:val="left"/>
      </w:pPr>
      <w:r>
        <w:rPr>
          <w:b/>
          <w:color w:val="2E4E7C"/>
          <w:sz w:val="22"/>
        </w:rPr>
        <w:t>SEXTA: REVISIÓN PERIÓDICA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Anual con posibilidad de ajuste de métricas.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UPTIME ENTERPRISE 99.99%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Cuatro nueves — high availability.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Métricas SMART: específicas, medibles, alcanzables, realistas, temporales.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Service credits típicamente cap al monto mensual.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Penalidades como remedio EXCLUSIVO (no excluye daños mayores en casos graves).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Monitoring por tercero independiente recomendable.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[P95]</w:t>
            </w:r>
          </w:p>
        </w:tc>
        <w:tc>
          <w:tcPr>
            <w:tcW w:type="dxa" w:w="4703"/>
          </w:tcPr>
          <w:p>
            <w:r>
              <w:t>Percentil 95 — 95% de requests bajo este tiempo.</w:t>
            </w:r>
          </w:p>
        </w:tc>
      </w:tr>
      <w:tr>
        <w:tc>
          <w:tcPr>
            <w:tcW w:type="dxa" w:w="4703"/>
          </w:tcPr>
          <w:p>
            <w:r>
              <w:t>[MTBF]</w:t>
            </w:r>
          </w:p>
        </w:tc>
        <w:tc>
          <w:tcPr>
            <w:tcW w:type="dxa" w:w="4703"/>
          </w:tcPr>
          <w:p>
            <w:r>
              <w:t>Mean Time Between Failures.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Definición de métricas</w:t>
      </w:r>
    </w:p>
    <w:p>
      <w:r>
        <w:rPr>
          <w:rFonts w:ascii="Calibri" w:hAnsi="Calibri"/>
          <w:b w:val="0"/>
          <w:i w:val="0"/>
          <w:sz w:val="21"/>
        </w:rPr>
        <w:t>☐  Herramienta de monitoreo</w:t>
      </w:r>
    </w:p>
    <w:p>
      <w:r>
        <w:rPr>
          <w:rFonts w:ascii="Calibri" w:hAnsi="Calibri"/>
          <w:b w:val="0"/>
          <w:i w:val="0"/>
          <w:sz w:val="21"/>
        </w:rPr>
        <w:t>☐  Procedimiento de reclamación</w:t>
      </w:r>
    </w:p>
    <w:p>
      <w:r>
        <w:rPr>
          <w:rFonts w:ascii="Calibri" w:hAnsi="Calibri"/>
          <w:b w:val="0"/>
          <w:i w:val="0"/>
          <w:sz w:val="21"/>
        </w:rPr>
        <w:t>☐  Reportes automatizados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