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SAAS (SOFTWARE AS A SERVICE)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LDA +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SAAS'.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 de software bajo modelo de suscripción en la nube.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Acceso al software [NOMBRE] vía web, alojado en infraestructura del proveedor.</w:t>
      </w:r>
    </w:p>
    <w:p>
      <w:pPr>
        <w:jc w:val="left"/>
      </w:pPr>
      <w:r>
        <w:rPr>
          <w:b/>
          <w:color w:val="2E4E7C"/>
          <w:sz w:val="22"/>
        </w:rPr>
        <w:t>SEGUNDA: USUARIOS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usuarios concurrentes / [#] usuarios nominales.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Suscripción mensual/anual Q[#]; recargos por usuarios adicionales.</w:t>
      </w:r>
    </w:p>
    <w:p>
      <w:pPr>
        <w:jc w:val="left"/>
      </w:pPr>
      <w:r>
        <w:rPr>
          <w:b/>
          <w:color w:val="2E4E7C"/>
          <w:sz w:val="22"/>
        </w:rPr>
        <w:t>CUARTA: SLA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Disponibilidad ≥ 99.5% mensual. Tiempo de respuesta a incidentes según severidad. Créditos de servicio por incumplimiento.</w:t>
      </w:r>
    </w:p>
    <w:p>
      <w:pPr>
        <w:jc w:val="left"/>
      </w:pPr>
      <w:r>
        <w:rPr>
          <w:b/>
          <w:color w:val="2E4E7C"/>
          <w:sz w:val="22"/>
        </w:rPr>
        <w:t>QUINTA: DATOS DEL CLIENTE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Propiedad del cliente. Proveedor procesa por cuenta. DPA anexo.</w:t>
      </w:r>
    </w:p>
    <w:p>
      <w:pPr>
        <w:jc w:val="left"/>
      </w:pPr>
      <w:r>
        <w:rPr>
          <w:b/>
          <w:color w:val="2E4E7C"/>
          <w:sz w:val="22"/>
        </w:rPr>
        <w:t>SEXTA: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Cifrado en tránsito y reposo; certificaciones ISO 27001; auditorías; copias de seguridad.</w:t>
      </w:r>
    </w:p>
    <w:p>
      <w:pPr>
        <w:jc w:val="left"/>
      </w:pPr>
      <w:r>
        <w:rPr>
          <w:b/>
          <w:color w:val="2E4E7C"/>
          <w:sz w:val="22"/>
        </w:rPr>
        <w:t>SÉPTIMA: PORTABILIDAD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Cliente puede exportar sus datos en formato estándar al término.</w:t>
      </w:r>
    </w:p>
    <w:p>
      <w:pPr>
        <w:jc w:val="left"/>
      </w:pPr>
      <w:r>
        <w:rPr>
          <w:b/>
          <w:color w:val="2E4E7C"/>
          <w:sz w:val="22"/>
        </w:rPr>
        <w:t>OCTAVA: VIGENCIA Y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 con renovación automática salvo aviso 30 días.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MULTI-TENANT vs SINGLE-TENANT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Infraestructura compartida o dedicada.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SAAS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de negocio dominante en B2B.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Cliente paga por uso, no compra software.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Datos del cliente: propiedad del cliente; proveedor solo procesador.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protección de datos (en GT, marco constitucional + Iniciativa de Ley en discusión).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SLA crítico: medible y con penalidades.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[SLA]</w:t>
            </w:r>
          </w:p>
        </w:tc>
        <w:tc>
          <w:tcPr>
            <w:tcW w:type="dxa" w:w="4703"/>
          </w:tcPr>
          <w:p>
            <w:r>
              <w:t>Service Level Agreement.</w:t>
            </w:r>
          </w:p>
        </w:tc>
      </w:tr>
      <w:tr>
        <w:tc>
          <w:tcPr>
            <w:tcW w:type="dxa" w:w="4703"/>
          </w:tcPr>
          <w:p>
            <w:r>
              <w:t>[DPA]</w:t>
            </w:r>
          </w:p>
        </w:tc>
        <w:tc>
          <w:tcPr>
            <w:tcW w:type="dxa" w:w="4703"/>
          </w:tcPr>
          <w:p>
            <w:r>
              <w:t>Data Processing Agreement.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SLA medible</w:t>
      </w:r>
    </w:p>
    <w:p>
      <w:r>
        <w:rPr>
          <w:rFonts w:ascii="Calibri" w:hAnsi="Calibri"/>
          <w:b w:val="0"/>
          <w:i w:val="0"/>
          <w:sz w:val="21"/>
        </w:rPr>
        <w:t>☐  Política de privacidad</w:t>
      </w:r>
    </w:p>
    <w:p>
      <w:r>
        <w:rPr>
          <w:rFonts w:ascii="Calibri" w:hAnsi="Calibri"/>
          <w:b w:val="0"/>
          <w:i w:val="0"/>
          <w:sz w:val="21"/>
        </w:rPr>
        <w:t>☐  DPA</w:t>
      </w:r>
    </w:p>
    <w:p>
      <w:r>
        <w:rPr>
          <w:rFonts w:ascii="Calibri" w:hAnsi="Calibri"/>
          <w:b w:val="0"/>
          <w:i w:val="0"/>
          <w:sz w:val="21"/>
        </w:rPr>
        <w:t>☐  Plan de continuidad</w:t>
      </w:r>
    </w:p>
    <w:p>
      <w:r>
        <w:rPr>
          <w:rFonts w:ascii="Calibri" w:hAnsi="Calibri"/>
          <w:b w:val="0"/>
          <w:i w:val="0"/>
          <w:sz w:val="21"/>
        </w:rPr>
        <w:t>☐  Backups</w:t>
      </w:r>
    </w:p>
    <w:p>
      <w:r>
        <w:rPr>
          <w:rFonts w:ascii="Calibri" w:hAnsi="Calibri"/>
          <w:b w:val="0"/>
          <w:i w:val="0"/>
          <w:sz w:val="21"/>
        </w:rPr>
        <w:t>☐  Pruebas de seguridad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