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HOSTING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 HOSTING'.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Alojamiento de servidores/sitios web/aplicaciones.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[Compartido / VPS / Dedicado / Colocation]</w:t>
      </w:r>
    </w:p>
    <w:p>
      <w:pPr>
        <w:jc w:val="left"/>
      </w:pPr>
      <w:r>
        <w:rPr>
          <w:b/>
          <w:color w:val="2E4E7C"/>
          <w:sz w:val="22"/>
        </w:rPr>
        <w:t>SEGUNDA: RECURSOS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[CPU, RAM, almacenamiento, ancho de banda, tráfico mensual]</w:t>
      </w:r>
    </w:p>
    <w:p>
      <w:pPr>
        <w:jc w:val="left"/>
      </w:pPr>
      <w:r>
        <w:rPr>
          <w:b/>
          <w:color w:val="2E4E7C"/>
          <w:sz w:val="22"/>
        </w:rPr>
        <w:t>TERCERA: DOMINIOS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Registro/transferencia incluido [SÍ/NO].</w:t>
      </w:r>
    </w:p>
    <w:p>
      <w:pPr>
        <w:jc w:val="left"/>
      </w:pPr>
      <w:r>
        <w:rPr>
          <w:b/>
          <w:color w:val="2E4E7C"/>
          <w:sz w:val="22"/>
        </w:rPr>
        <w:t>CUARTA: SSL/TLS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Certificados incluidos.</w:t>
      </w:r>
    </w:p>
    <w:p>
      <w:pPr>
        <w:jc w:val="left"/>
      </w:pPr>
      <w:r>
        <w:rPr>
          <w:b/>
          <w:color w:val="2E4E7C"/>
          <w:sz w:val="22"/>
        </w:rPr>
        <w:t>QUINTA: BACKUPS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Diarios; retención [#] días; restauración bajo demanda.</w:t>
      </w:r>
    </w:p>
    <w:p>
      <w:pPr>
        <w:jc w:val="left"/>
      </w:pPr>
      <w:r>
        <w:rPr>
          <w:b/>
          <w:color w:val="2E4E7C"/>
          <w:sz w:val="22"/>
        </w:rPr>
        <w:t>SEXTA: MIGRACIÓN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Asistencia inicial; al término, permitir migración con [#] días de aviso.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CDN INCLUIDA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Content Delivery Network para mejor performance global.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 HOSTING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Mercado competitivo.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Calidad del datacenter (Tier I-IV) afecta SLA.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con leyes del país donde se aloja el servidor.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Backups y plan de recuperación esenciales.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[VPS]</w:t>
            </w:r>
          </w:p>
        </w:tc>
        <w:tc>
          <w:tcPr>
            <w:tcW w:type="dxa" w:w="4703"/>
          </w:tcPr>
          <w:p>
            <w:r>
              <w:t>Virtual Private Server.</w:t>
            </w:r>
          </w:p>
        </w:tc>
      </w:tr>
      <w:tr>
        <w:tc>
          <w:tcPr>
            <w:tcW w:type="dxa" w:w="4703"/>
          </w:tcPr>
          <w:p>
            <w:r>
              <w:t>[COLOCATION]</w:t>
            </w:r>
          </w:p>
        </w:tc>
        <w:tc>
          <w:tcPr>
            <w:tcW w:type="dxa" w:w="4703"/>
          </w:tcPr>
          <w:p>
            <w:r>
              <w:t>Alojar servidor propio del cliente.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Tier del datacenter</w:t>
      </w:r>
    </w:p>
    <w:p>
      <w:r>
        <w:rPr>
          <w:rFonts w:ascii="Calibri" w:hAnsi="Calibri"/>
          <w:b w:val="0"/>
          <w:i w:val="0"/>
          <w:sz w:val="21"/>
        </w:rPr>
        <w:t>☐  Plan de backups</w:t>
      </w:r>
    </w:p>
    <w:p>
      <w:r>
        <w:rPr>
          <w:rFonts w:ascii="Calibri" w:hAnsi="Calibri"/>
          <w:b w:val="0"/>
          <w:i w:val="0"/>
          <w:sz w:val="21"/>
        </w:rPr>
        <w:t>☐  Plan de migración</w:t>
      </w:r>
    </w:p>
    <w:p>
      <w:r>
        <w:rPr>
          <w:rFonts w:ascii="Calibri" w:hAnsi="Calibri"/>
          <w:b w:val="0"/>
          <w:i w:val="0"/>
          <w:sz w:val="21"/>
        </w:rPr>
        <w:t>☐  SLA documentado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