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ROAMING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GSMA Standards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OPERADOR LOCAL'.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OPERADOR EXTRANJERO'.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Permitir que clientes usen su línea en el extranjero.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REDES INCLUIDAS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Móvil 2G/3G/4G/5G en [PAÍSES]</w:t>
      </w:r>
    </w:p>
    <w:p>
      <w:pPr>
        <w:jc w:val="left"/>
      </w:pPr>
      <w:r>
        <w:rPr>
          <w:b/>
          <w:color w:val="2E4E7C"/>
          <w:sz w:val="22"/>
        </w:rPr>
        <w:t>SEGUNDA: CARGOS WHOLESALE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Tarifas por minuto, SMS, MB de datos cobradas entre operadores.</w:t>
      </w:r>
    </w:p>
    <w:p>
      <w:pPr>
        <w:jc w:val="left"/>
      </w:pPr>
      <w:r>
        <w:rPr>
          <w:b/>
          <w:color w:val="2E4E7C"/>
          <w:sz w:val="22"/>
        </w:rPr>
        <w:t>TERCERA: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Niveles equivalentes a usuarios locales.</w:t>
      </w:r>
    </w:p>
    <w:p>
      <w:pPr>
        <w:jc w:val="left"/>
      </w:pPr>
      <w:r>
        <w:rPr>
          <w:b/>
          <w:color w:val="2E4E7C"/>
          <w:sz w:val="22"/>
        </w:rPr>
        <w:t>CUARTA: FACTURACIÓN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Reportes de tráfico (TAP files); compensación periódica.</w:t>
      </w:r>
    </w:p>
    <w:p>
      <w:pPr>
        <w:jc w:val="left"/>
      </w:pPr>
      <w:r>
        <w:rPr>
          <w:b/>
          <w:color w:val="2E4E7C"/>
          <w:sz w:val="22"/>
        </w:rPr>
        <w:t>QUINTA: BLOQUEO Y FRAUDE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Protocolos.</w:t>
      </w:r>
    </w:p>
    <w:p>
      <w:pPr>
        <w:jc w:val="left"/>
      </w:pPr>
      <w:r>
        <w:rPr>
          <w:b/>
          <w:color w:val="2E4E7C"/>
          <w:sz w:val="22"/>
        </w:rPr>
        <w:t>SEXTA: COMPATIBILIDAD TÉCNICA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estándares GSMA.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ROAMING SIN RECARGO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destinos específicos.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LOCAL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EXTRANJERO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Estándares GSMA.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TAP (Transferred Account Procedure) para facturación.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Tarifas wholesale negociadas bilateralmente o vía operadores hub.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Roaming gratuito intra-UE (caso de referencia).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[TAP]</w:t>
            </w:r>
          </w:p>
        </w:tc>
        <w:tc>
          <w:tcPr>
            <w:tcW w:type="dxa" w:w="4703"/>
          </w:tcPr>
          <w:p>
            <w:r>
              <w:t>Transferred Account Procedure.</w:t>
            </w:r>
          </w:p>
        </w:tc>
      </w:tr>
      <w:tr>
        <w:tc>
          <w:tcPr>
            <w:tcW w:type="dxa" w:w="4703"/>
          </w:tcPr>
          <w:p>
            <w:r>
              <w:t>[GSMA]</w:t>
            </w:r>
          </w:p>
        </w:tc>
        <w:tc>
          <w:tcPr>
            <w:tcW w:type="dxa" w:w="4703"/>
          </w:tcPr>
          <w:p>
            <w:r>
              <w:t>GSM Association.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Acuerdos comerciales</w:t>
      </w:r>
    </w:p>
    <w:p>
      <w:r>
        <w:rPr>
          <w:rFonts w:ascii="Calibri" w:hAnsi="Calibri"/>
          <w:b w:val="0"/>
          <w:i w:val="0"/>
          <w:sz w:val="21"/>
        </w:rPr>
        <w:t>☐  Implementación técnica</w:t>
      </w:r>
    </w:p>
    <w:p>
      <w:r>
        <w:rPr>
          <w:rFonts w:ascii="Calibri" w:hAnsi="Calibri"/>
          <w:b w:val="0"/>
          <w:i w:val="0"/>
          <w:sz w:val="21"/>
        </w:rPr>
        <w:t>☐  Testing</w:t>
      </w:r>
    </w:p>
    <w:p>
      <w:r>
        <w:rPr>
          <w:rFonts w:ascii="Calibri" w:hAnsi="Calibri"/>
          <w:b w:val="0"/>
          <w:i w:val="0"/>
          <w:sz w:val="21"/>
        </w:rPr>
        <w:t>☐  Procedimientos de fraude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