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ACUERDO DE CRITERIO DE OPORTUNIDAD EN MATERIA TRIBUTARIA</w:t>
      </w:r>
    </w:p>
    <w:p>
      <w:pPr>
        <w:jc w:val="center"/>
      </w:pPr>
      <w:r>
        <w:rPr>
          <w:rFonts w:ascii="Calibri" w:hAnsi="Calibri"/>
          <w:b w:val="0"/>
          <w:i/>
          <w:sz w:val="20"/>
        </w:rPr>
        <w:t>Conforme al Código Procesal Penal (Decreto 51-92, Art. 25 y conexos) — aplicable a delitos tributarios menores</w:t>
      </w:r>
    </w:p>
    <w:p/>
    <w:p>
      <w:pPr>
        <w:jc w:val="left"/>
      </w:pPr>
      <w:r>
        <w:rPr>
          <w:b/>
          <w:color w:val="1F3A5F"/>
          <w:sz w:val="26"/>
        </w:rPr>
        <w:t>COMPARECIENTES</w:t>
      </w:r>
    </w:p>
    <w:p>
      <w:pPr>
        <w:jc w:val="both"/>
      </w:pPr>
      <w:r>
        <w:rPr>
          <w:rFonts w:ascii="Calibri" w:hAnsi="Calibri"/>
          <w:b w:val="0"/>
          <w:i w:val="0"/>
          <w:sz w:val="22"/>
        </w:rPr>
        <w:t>POR UNA PARTE, [RAZÓN SOCIAL], sociedad [TIPO: anónima / de responsabilidad limitada] organizada conforme a las leyes de Guatemala, con domicilio en [DIRECCIÓN], inscrita en el Registro Mercantil General de la República al número [#], folio [#], del libro [#] de [Sociedades / Comerciantes], NIT [NIT], patente de comercio número [#], representada en este acto por [NOMBRE DEL REPRESENTANTE LEGAL], de [EDAD] años, [ESTADO CIVIL], [NACIONALIDAD], [PROFESIÓN], identificado con DPI [DPI], quien acredita su personería con [acta notarial de nombramiento / mandato] de fecha [FECHA], autorizada por el Notario [NOMBRE], inscrita en el Registro Mercantil al número [#], folio [#], del libro [#] de Auxiliares de Comercio; a quien en lo sucesivo se denominará 'MINISTERIO PÚBLICO / SAT'.</w:t>
      </w:r>
    </w:p>
    <w:p>
      <w:pPr>
        <w:jc w:val="both"/>
      </w:pPr>
      <w:r>
        <w:rPr>
          <w:rFonts w:ascii="Calibri" w:hAnsi="Calibri"/>
          <w:b w:val="0"/>
          <w:i w:val="0"/>
          <w:sz w:val="22"/>
        </w:rPr>
        <w:t>Y POR LA OTRA PARTE, [RAZÓN SOCIAL], sociedad [TIPO] con domicilio en [DIRECCIÓN], inscrita en el Registro Mercantil al número [#], folio [#], libro [#], NIT [NIT], representada por [NOMBRE], DPI [DPI], según [acta notarial / mandato] de fecha [FECHA], inscrita al número [#], folio [#], libro [#]; a quien se denominará 'EL SINDICADO / CONTRIBUYENTE'.</w:t>
      </w:r>
    </w:p>
    <w:p>
      <w:pPr>
        <w:jc w:val="both"/>
      </w:pPr>
      <w:r>
        <w:rPr>
          <w:rFonts w:ascii="Calibri" w:hAnsi="Calibri"/>
          <w:b w:val="0"/>
          <w:i w:val="0"/>
          <w:sz w:val="22"/>
        </w:rPr>
        <w:t>Ambas partes, por medio de sus representantes legales y con las facultades necesarias, convienen lo siguiente.</w:t>
      </w:r>
    </w:p>
    <w:p/>
    <w:p>
      <w:pPr>
        <w:jc w:val="left"/>
      </w:pPr>
      <w:r>
        <w:rPr>
          <w:b/>
          <w:color w:val="1F3A5F"/>
          <w:sz w:val="26"/>
        </w:rPr>
        <w:t>CONSIDERANDOS</w:t>
      </w:r>
    </w:p>
    <w:p>
      <w:pPr>
        <w:jc w:val="both"/>
      </w:pPr>
      <w:r>
        <w:rPr>
          <w:rFonts w:ascii="Calibri" w:hAnsi="Calibri"/>
          <w:b w:val="0"/>
          <w:i w:val="0"/>
          <w:sz w:val="22"/>
        </w:rPr>
        <w:t>I. Que el contribuyente está sindicado del delito de [defraudación tributaria / apropiación indebida de tributos / contrabando aduanero menor], según expediente número [#].</w:t>
      </w:r>
    </w:p>
    <w:p>
      <w:pPr>
        <w:jc w:val="both"/>
      </w:pPr>
      <w:r>
        <w:rPr>
          <w:rFonts w:ascii="Calibri" w:hAnsi="Calibri"/>
          <w:b w:val="0"/>
          <w:i w:val="0"/>
          <w:sz w:val="22"/>
        </w:rPr>
        <w:t>II. Que el monto involucrado y las circunstancias permiten la aplicación del criterio de oportunidad conforme al Art. 25 del Código Procesal Penal.</w:t>
      </w:r>
    </w:p>
    <w:p>
      <w:pPr>
        <w:jc w:val="both"/>
      </w:pPr>
      <w:r>
        <w:rPr>
          <w:rFonts w:ascii="Calibri" w:hAnsi="Calibri"/>
          <w:b w:val="0"/>
          <w:i w:val="0"/>
          <w:sz w:val="22"/>
        </w:rPr>
        <w:t>III. Que el contribuyente ha aceptado los hechos y reparado el daño.</w:t>
      </w:r>
    </w:p>
    <w:p/>
    <w:p>
      <w:pPr>
        <w:jc w:val="left"/>
      </w:pPr>
      <w:r>
        <w:rPr>
          <w:b/>
          <w:color w:val="1F3A5F"/>
          <w:sz w:val="26"/>
        </w:rPr>
        <w:t>CLÁUSULAS</w:t>
      </w:r>
    </w:p>
    <w:p>
      <w:pPr>
        <w:jc w:val="left"/>
      </w:pPr>
      <w:r>
        <w:rPr>
          <w:b/>
          <w:color w:val="2E4E7C"/>
          <w:sz w:val="22"/>
        </w:rPr>
        <w:t>PRIMERA: ACEPTACIÓN DE HECHOS</w:t>
      </w:r>
    </w:p>
    <w:p>
      <w:pPr>
        <w:jc w:val="both"/>
      </w:pPr>
      <w:r>
        <w:rPr>
          <w:rFonts w:ascii="Calibri" w:hAnsi="Calibri"/>
          <w:b w:val="0"/>
          <w:i w:val="0"/>
          <w:sz w:val="22"/>
        </w:rPr>
        <w:t>EL SINDICADO acepta los hechos atribuidos: [DESCRIPCIÓN SUCINTA]. Reconoce el monto del adeudo tributario en Q[MONTO].</w:t>
      </w:r>
    </w:p>
    <w:p>
      <w:pPr>
        <w:jc w:val="left"/>
      </w:pPr>
      <w:r>
        <w:rPr>
          <w:b/>
          <w:color w:val="2E4E7C"/>
          <w:sz w:val="22"/>
        </w:rPr>
        <w:t>SEGUNDA: REPARACIÓN DEL DAÑO</w:t>
      </w:r>
    </w:p>
    <w:p>
      <w:pPr>
        <w:jc w:val="both"/>
      </w:pPr>
      <w:r>
        <w:rPr>
          <w:rFonts w:ascii="Calibri" w:hAnsi="Calibri"/>
          <w:b w:val="0"/>
          <w:i w:val="0"/>
          <w:sz w:val="22"/>
        </w:rPr>
        <w:t>EL SINDICADO ha pagado a la SAT la totalidad del adeudo tributario, multas, intereses y costas en la suma de Q[MONTO], según constancia adjunta.</w:t>
      </w:r>
    </w:p>
    <w:p>
      <w:pPr>
        <w:jc w:val="left"/>
      </w:pPr>
      <w:r>
        <w:rPr>
          <w:b/>
          <w:color w:val="2E4E7C"/>
          <w:sz w:val="22"/>
        </w:rPr>
        <w:t>TERCERA: COMPROMISO DE NO REINCIDENCIA</w:t>
      </w:r>
    </w:p>
    <w:p>
      <w:pPr>
        <w:jc w:val="both"/>
      </w:pPr>
      <w:r>
        <w:rPr>
          <w:rFonts w:ascii="Calibri" w:hAnsi="Calibri"/>
          <w:b w:val="0"/>
          <w:i w:val="0"/>
          <w:sz w:val="22"/>
        </w:rPr>
        <w:t>EL SINDICADO se compromete a no reincidir en conductas similares, a cumplir estrictamente sus obligaciones tributarias futuras, y a permitir auditorías de cumplimiento durante [#] años.</w:t>
      </w:r>
    </w:p>
    <w:p>
      <w:pPr>
        <w:jc w:val="left"/>
      </w:pPr>
      <w:r>
        <w:rPr>
          <w:b/>
          <w:color w:val="2E4E7C"/>
          <w:sz w:val="22"/>
        </w:rPr>
        <w:t>CUARTA: EFECTOS DE LA ABSTENCIÓN</w:t>
      </w:r>
    </w:p>
    <w:p>
      <w:pPr>
        <w:jc w:val="both"/>
      </w:pPr>
      <w:r>
        <w:rPr>
          <w:rFonts w:ascii="Calibri" w:hAnsi="Calibri"/>
          <w:b w:val="0"/>
          <w:i w:val="0"/>
          <w:sz w:val="22"/>
        </w:rPr>
        <w:t>Aprobado el criterio de oportunidad, el Ministerio Público se abstendrá de ejercer la persecución penal, quedando el caso archivado. La extinción de la responsabilidad penal se declarará al cumplir cabalmente los compromisos.</w:t>
      </w:r>
    </w:p>
    <w:p>
      <w:pPr>
        <w:jc w:val="left"/>
      </w:pPr>
      <w:r>
        <w:rPr>
          <w:b/>
          <w:color w:val="2E4E7C"/>
          <w:sz w:val="22"/>
        </w:rPr>
        <w:t>QUINTA: CONSECUENCIA EN CASO DE INCUMPLIMIENTO</w:t>
      </w:r>
    </w:p>
    <w:p>
      <w:pPr>
        <w:jc w:val="both"/>
      </w:pPr>
      <w:r>
        <w:rPr>
          <w:rFonts w:ascii="Calibri" w:hAnsi="Calibri"/>
          <w:b w:val="0"/>
          <w:i w:val="0"/>
          <w:sz w:val="22"/>
        </w:rPr>
        <w:t>Si EL SINDICADO incumple cualquiera de los compromisos durante el período establecido, se reactivará la persecución penal sin que opere la prescripción corrida durante este lapso.</w:t>
      </w:r>
    </w:p>
    <w:p>
      <w:pPr>
        <w:jc w:val="left"/>
      </w:pPr>
      <w:r>
        <w:rPr>
          <w:b/>
          <w:color w:val="2E4E7C"/>
          <w:sz w:val="22"/>
        </w:rPr>
        <w:t>SEXTA: APROBACIÓN JUDICIAL</w:t>
      </w:r>
    </w:p>
    <w:p>
      <w:pPr>
        <w:jc w:val="both"/>
      </w:pPr>
      <w:r>
        <w:rPr>
          <w:rFonts w:ascii="Calibri" w:hAnsi="Calibri"/>
          <w:b w:val="0"/>
          <w:i w:val="0"/>
          <w:sz w:val="22"/>
        </w:rPr>
        <w:t>El presente acuerdo se somete a la aprobación del Juez de Primera Instancia Penal competente, conforme al Art. 25 bis CPP.</w:t>
      </w:r>
    </w:p>
    <w:p>
      <w:pPr>
        <w:jc w:val="left"/>
      </w:pPr>
      <w:r>
        <w:rPr>
          <w:b/>
          <w:color w:val="2E4E7C"/>
          <w:sz w:val="22"/>
        </w:rPr>
        <w:t>SÉPTIMA: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OCTAVA: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NOVENA: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PRIMERA: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DÉCIMA SEGUNDA: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DÉCIMA TERCERA: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PRESTACIÓN DE SERVICIOS COMUNITARIOS</w:t>
      </w:r>
    </w:p>
    <w:p>
      <w:pPr>
        <w:jc w:val="both"/>
      </w:pPr>
      <w:r>
        <w:rPr>
          <w:rFonts w:ascii="Calibri" w:hAnsi="Calibri"/>
          <w:b w:val="0"/>
          <w:i w:val="0"/>
          <w:sz w:val="22"/>
        </w:rPr>
        <w:t>Adicionalmente, EL SINDICADO prestará [#] horas de servicios comunitarios en [INSTITUCIÓN] dentro de [PLAZO].</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MP / SAT</w:t>
      </w:r>
    </w:p>
    <w:p>
      <w:r>
        <w:rPr>
          <w:rFonts w:ascii="Calibri" w:hAnsi="Calibri"/>
          <w:b w:val="0"/>
          <w:i w:val="0"/>
          <w:sz w:val="22"/>
        </w:rPr>
        <w:t>_________________________________</w:t>
        <w:br/>
        <w:t>SINDICADO</w:t>
      </w:r>
    </w:p>
    <w:p>
      <w:r>
        <w:rPr>
          <w:rFonts w:ascii="Calibri" w:hAnsi="Calibri"/>
          <w:b w:val="0"/>
          <w:i w:val="0"/>
          <w:sz w:val="22"/>
        </w:rPr>
        <w:t>_________________________________</w:t>
        <w:br/>
        <w:t>DEFENSOR</w:t>
      </w:r>
    </w:p>
    <w:p>
      <w:r>
        <w:rPr>
          <w:rFonts w:ascii="Calibri" w:hAnsi="Calibri"/>
          <w:b w:val="0"/>
          <w:i w:val="0"/>
          <w:sz w:val="22"/>
        </w:rPr>
        <w:t>_________________________________</w:t>
        <w:br/>
        <w:t>JUEZ (aprobación)</w:t>
      </w:r>
    </w:p>
    <w:p>
      <w:r>
        <w:br w:type="page"/>
      </w:r>
    </w:p>
    <w:p>
      <w:pPr>
        <w:jc w:val="left"/>
      </w:pPr>
      <w:r>
        <w:rPr>
          <w:b/>
          <w:color w:val="1F3A5F"/>
          <w:sz w:val="26"/>
        </w:rPr>
        <w:t>NOTAS LEGALES (Guatemala)</w:t>
      </w:r>
    </w:p>
    <w:p>
      <w:pPr>
        <w:jc w:val="both"/>
      </w:pPr>
      <w:r>
        <w:rPr>
          <w:rFonts w:ascii="Calibri" w:hAnsi="Calibri"/>
          <w:b w:val="0"/>
          <w:i w:val="0"/>
          <w:sz w:val="21"/>
        </w:rPr>
        <w:t>• Base legal: Arts. 25 y 25 bis del Código Procesal Penal.</w:t>
      </w:r>
    </w:p>
    <w:p>
      <w:pPr>
        <w:jc w:val="both"/>
      </w:pPr>
      <w:r>
        <w:rPr>
          <w:rFonts w:ascii="Calibri" w:hAnsi="Calibri"/>
          <w:b w:val="0"/>
          <w:i w:val="0"/>
          <w:sz w:val="21"/>
        </w:rPr>
        <w:t>• Aplicable a delitos con pena máxima no superior a 5 años o cuya consumación tenga repercusión menor.</w:t>
      </w:r>
    </w:p>
    <w:p>
      <w:pPr>
        <w:jc w:val="both"/>
      </w:pPr>
      <w:r>
        <w:rPr>
          <w:rFonts w:ascii="Calibri" w:hAnsi="Calibri"/>
          <w:b w:val="0"/>
          <w:i w:val="0"/>
          <w:sz w:val="21"/>
        </w:rPr>
        <w:t>• Delitos tributarios cubiertos por el criterio de oportunidad típicamente: defraudación tributaria por montos menores, apropiación indebida.</w:t>
      </w:r>
    </w:p>
    <w:p>
      <w:pPr>
        <w:jc w:val="both"/>
      </w:pPr>
      <w:r>
        <w:rPr>
          <w:rFonts w:ascii="Calibri" w:hAnsi="Calibri"/>
          <w:b w:val="0"/>
          <w:i w:val="0"/>
          <w:sz w:val="21"/>
        </w:rPr>
        <w:t>• Requisitos: aceptación de hechos, reparación del daño, compromiso de no reincidencia.</w:t>
      </w:r>
    </w:p>
    <w:p>
      <w:pPr>
        <w:jc w:val="both"/>
      </w:pPr>
      <w:r>
        <w:rPr>
          <w:rFonts w:ascii="Calibri" w:hAnsi="Calibri"/>
          <w:b w:val="0"/>
          <w:i w:val="0"/>
          <w:sz w:val="21"/>
        </w:rPr>
        <w:t>• Plazo de prueba: típicamente 2-3 años.</w:t>
      </w:r>
    </w:p>
    <w:p>
      <w:pPr>
        <w:jc w:val="both"/>
      </w:pPr>
      <w:r>
        <w:rPr>
          <w:rFonts w:ascii="Calibri" w:hAnsi="Calibri"/>
          <w:b w:val="0"/>
          <w:i w:val="0"/>
          <w:sz w:val="21"/>
        </w:rPr>
        <w:t>• Aprobación judicial necesaria.</w:t>
      </w:r>
    </w:p>
    <w:p>
      <w:pPr>
        <w:jc w:val="both"/>
      </w:pPr>
      <w:r>
        <w:rPr>
          <w:rFonts w:ascii="Calibri" w:hAnsi="Calibri"/>
          <w:b w:val="0"/>
          <w:i w:val="0"/>
          <w:sz w:val="21"/>
        </w:rPr>
        <w:t>• Genera abstención del ejercicio de la acción penal — no es absolución.</w:t>
      </w:r>
    </w:p>
    <w:p>
      <w:pPr>
        <w:jc w:val="both"/>
      </w:pPr>
      <w:r>
        <w:rPr>
          <w:rFonts w:ascii="Calibri" w:hAnsi="Calibri"/>
          <w:b w:val="0"/>
          <w:i w:val="0"/>
          <w:sz w:val="21"/>
        </w:rPr>
        <w:t>• Cumplido el plazo sin reincidencia, opera la extinción definitiva.</w:t>
      </w:r>
    </w:p>
    <w:p>
      <w:pPr>
        <w:jc w:val="both"/>
      </w:pPr>
      <w:r>
        <w:rPr>
          <w:rFonts w:ascii="Calibri" w:hAnsi="Calibri"/>
          <w:b w:val="0"/>
          <w:i w:val="0"/>
          <w:sz w:val="21"/>
        </w:rPr>
        <w:t>• Implica acuerdo conjunto SAT-MP por ser tributos administrados.</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[CRITERIO DE OPORTUNIDAD]</w:t>
            </w:r>
          </w:p>
        </w:tc>
        <w:tc>
          <w:tcPr>
            <w:tcW w:type="dxa" w:w="4703"/>
          </w:tcPr>
          <w:p>
            <w:r>
              <w:t>Facultad del MP de abstenerse de la persecución en ciertos casos.</w:t>
            </w:r>
          </w:p>
        </w:tc>
      </w:tr>
    </w:tbl>
    <w:p/>
    <w:p>
      <w:pPr>
        <w:jc w:val="left"/>
      </w:pPr>
      <w:r>
        <w:rPr>
          <w:b/>
          <w:color w:val="1F3A5F"/>
          <w:sz w:val="26"/>
        </w:rPr>
        <w:t>CHECKLIST DE REQUISITOS Y DOCUMENTOS</w:t>
      </w:r>
    </w:p>
    <w:p>
      <w:r>
        <w:rPr>
          <w:rFonts w:ascii="Calibri" w:hAnsi="Calibri"/>
          <w:b w:val="0"/>
          <w:i w:val="0"/>
          <w:sz w:val="21"/>
        </w:rPr>
        <w:t>☐  Expediente penal</w:t>
      </w:r>
    </w:p>
    <w:p>
      <w:r>
        <w:rPr>
          <w:rFonts w:ascii="Calibri" w:hAnsi="Calibri"/>
          <w:b w:val="0"/>
          <w:i w:val="0"/>
          <w:sz w:val="21"/>
        </w:rPr>
        <w:t>☐  Liquidación del adeudo SAT</w:t>
      </w:r>
    </w:p>
    <w:p>
      <w:r>
        <w:rPr>
          <w:rFonts w:ascii="Calibri" w:hAnsi="Calibri"/>
          <w:b w:val="0"/>
          <w:i w:val="0"/>
          <w:sz w:val="21"/>
        </w:rPr>
        <w:t>☐  Constancia de pago total al SAT</w:t>
      </w:r>
    </w:p>
    <w:p>
      <w:r>
        <w:rPr>
          <w:rFonts w:ascii="Calibri" w:hAnsi="Calibri"/>
          <w:b w:val="0"/>
          <w:i w:val="0"/>
          <w:sz w:val="21"/>
        </w:rPr>
        <w:t>☐  Defensor designado</w:t>
      </w:r>
    </w:p>
    <w:p>
      <w:r>
        <w:rPr>
          <w:rFonts w:ascii="Calibri" w:hAnsi="Calibri"/>
          <w:b w:val="0"/>
          <w:i w:val="0"/>
          <w:sz w:val="21"/>
        </w:rPr>
        <w:t>☐  Constancia de antecedentes</w:t>
      </w:r>
    </w:p>
    <w:p>
      <w:r>
        <w:rPr>
          <w:rFonts w:ascii="Calibri" w:hAnsi="Calibri"/>
          <w:b w:val="0"/>
          <w:i w:val="0"/>
          <w:sz w:val="21"/>
        </w:rPr>
        <w:t>☐  Aprobación judicial</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