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REORGANIZACIÓN SOCIETARIA CON EFECTOS FISCALES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Actualización Tributaria (Decreto 10-2012)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'SOCIEDAD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'SOCIEDAD B (DEL MISMO GRUPO)'.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sociedades pertenecen al mismo grupo económico.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desean reorganizar operaciones para eficiencia operativa y administrativa, buscando además neutralidad fiscal.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FORMA DE LA REORGANIZACIÓN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Tipo: [fusión / escisión / aportación de unidad de negocio / canje de acciones].</w:t>
      </w:r>
    </w:p>
    <w:p>
      <w:pPr>
        <w:jc w:val="left"/>
      </w:pPr>
      <w:r>
        <w:rPr>
          <w:b/>
          <w:color w:val="2E4E7C"/>
          <w:sz w:val="22"/>
        </w:rPr>
        <w:t>SEGUNDA: BIENES Y RAMAS DE ACTIVIDAD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transmite la rama de actividad [DESCRIPCIÓN] incluyendo activos, pasivos, contratos, empleados, etc. Detalle e inventario en Anexo A.</w:t>
      </w:r>
    </w:p>
    <w:p>
      <w:pPr>
        <w:jc w:val="left"/>
      </w:pPr>
      <w:r>
        <w:rPr>
          <w:b/>
          <w:color w:val="2E4E7C"/>
          <w:sz w:val="22"/>
        </w:rPr>
        <w:t>TERCERA: CONTINUIDAD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garantiza continuidad operativa, conservando la actividad económica.</w:t>
      </w:r>
    </w:p>
    <w:p>
      <w:pPr>
        <w:jc w:val="left"/>
      </w:pPr>
      <w:r>
        <w:rPr>
          <w:b/>
          <w:color w:val="2E4E7C"/>
          <w:sz w:val="22"/>
        </w:rPr>
        <w:t>CUARTA: EFECTOS FISCALES PRETENDIDOS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pretenden que la operación tenga tratamiento fiscal NEUTRAL (sin ganancia gravable) por cumplir con: (a) motivo económico válido distinto del fiscal; (b) continuidad de actividad; (c) continuidad de socios; (d) valuación a valor en libros.</w:t>
      </w:r>
    </w:p>
    <w:p>
      <w:pPr>
        <w:jc w:val="left"/>
      </w:pPr>
      <w:r>
        <w:rPr>
          <w:b/>
          <w:color w:val="2E4E7C"/>
          <w:sz w:val="22"/>
        </w:rPr>
        <w:t>QUINTA: CRITERIO SAT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solicitar criterio previo de SAT sobre el tratamiento fiscal de la operación, suspendiendo su perfeccionamiento hasta obtener respuesta favorable o decidir continuar bajo régimen alternativo.</w:t>
      </w:r>
    </w:p>
    <w:p>
      <w:pPr>
        <w:jc w:val="left"/>
      </w:pPr>
      <w:r>
        <w:rPr>
          <w:b/>
          <w:color w:val="2E4E7C"/>
          <w:sz w:val="22"/>
        </w:rPr>
        <w:t>SEXTA: RESPONSABILIDAD SOLIDARIA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deudas tributarias preexistentes, ambas sociedades responden solidaria-mente conforme al Código Tributario.</w:t>
      </w:r>
    </w:p>
    <w:p>
      <w:pPr>
        <w:jc w:val="left"/>
      </w:pPr>
      <w:r>
        <w:rPr>
          <w:b/>
          <w:color w:val="2E4E7C"/>
          <w:sz w:val="22"/>
        </w:rPr>
        <w:t>SÉPTIMA: FORMALIDADES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de Código de Comercio (escritura, edictos, oposición de acreedores) y actualización en SAT, IGSS y demás autoridades.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OPERACIÓN EN VARIAS ETAPAS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reorganización se ejecutará en [#] etapas según cronograma anexo.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SOCIEDAD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SOCIEDAD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reorganizaciones requieren análisis fiscal cuidadoso.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SAT puede recalificar operaciones si percibe propósito principalmente fiscal (elusión).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obtener criterio previo de SAT.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Responsabilidad solidaria por adeudos pre-reorganización (Código Tributario Art. 26).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Implicaciones IVA, ISR, ITP, IUSI según tipo de operación.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[NEUTRALIDAD FISCAL]</w:t>
            </w:r>
          </w:p>
        </w:tc>
        <w:tc>
          <w:tcPr>
            <w:tcW w:type="dxa" w:w="4703"/>
          </w:tcPr>
          <w:p>
            <w:r>
              <w:t>Operación que no genera ganancia gravada al transmitirse.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fiscal previo</w:t>
      </w:r>
    </w:p>
    <w:p>
      <w:r>
        <w:rPr>
          <w:rFonts w:ascii="Calibri" w:hAnsi="Calibri"/>
          <w:b w:val="0"/>
          <w:i w:val="0"/>
          <w:sz w:val="21"/>
        </w:rPr>
        <w:t>☐  Criterio SAT</w:t>
      </w:r>
    </w:p>
    <w:p>
      <w:r>
        <w:rPr>
          <w:rFonts w:ascii="Calibri" w:hAnsi="Calibri"/>
          <w:b w:val="0"/>
          <w:i w:val="0"/>
          <w:sz w:val="21"/>
        </w:rPr>
        <w:t>☐  Inventarios</w:t>
      </w:r>
    </w:p>
    <w:p>
      <w:r>
        <w:rPr>
          <w:rFonts w:ascii="Calibri" w:hAnsi="Calibri"/>
          <w:b w:val="0"/>
          <w:i w:val="0"/>
          <w:sz w:val="21"/>
        </w:rPr>
        <w:t>☐  Valuación</w:t>
      </w:r>
    </w:p>
    <w:p>
      <w:r>
        <w:rPr>
          <w:rFonts w:ascii="Calibri" w:hAnsi="Calibri"/>
          <w:b w:val="0"/>
          <w:i w:val="0"/>
          <w:sz w:val="21"/>
        </w:rPr>
        <w:t>☐  Cumplimiento C.Com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