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SERVICIOS DE CONSULTORÍA TRIBUTARIA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profesionales independientes — Código Civil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FIRMA CONSULTORA'.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CLIENTE requiere asesoría tributaria especializada.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FIRMA CONSULTORA cuenta con profesionales calificados en materia tributaria.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FIRMA CONSULTORA prestará a EL CLIENTE servicios de consultoría tributaria que incluyen: (a) asesoría en planificación fiscal lícita; (b) preparación y revisión de declaraciones tributarias; (c) representación ante SAT en consultas y procesos; (d) opiniones técnicas sobre operaciones; (e) due diligence tributario; (f) precios de transferencia; (g) capacitación; (h) [OTROS].</w:t>
      </w:r>
    </w:p>
    <w:p>
      <w:pPr>
        <w:jc w:val="left"/>
      </w:pPr>
      <w:r>
        <w:rPr>
          <w:b/>
          <w:color w:val="2E4E7C"/>
          <w:sz w:val="22"/>
        </w:rPr>
        <w:t>SEGUNDA: ALCANCE ESPECÍFICO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el período [PLAZO], el alcance específico incluye: [DETALLE].</w:t>
      </w:r>
    </w:p>
    <w:p>
      <w:pPr>
        <w:jc w:val="left"/>
      </w:pPr>
      <w:r>
        <w:rPr>
          <w:b/>
          <w:color w:val="2E4E7C"/>
          <w:sz w:val="22"/>
        </w:rPr>
        <w:t>TERCERA: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pagará: (a) iguala mensual de Q[MONTO] que cubre [HORAS] horas; (b) horas adicionales a Q[TARIFA]/hora; (c) éxito (success fee) sobre devoluciones, ahorros o procesos favorables: [#]% del beneficio obtenido. Pagos los primeros [#] días de cada mes contra factura.</w:t>
      </w:r>
    </w:p>
    <w:p>
      <w:pPr>
        <w:jc w:val="left"/>
      </w:pPr>
      <w:r>
        <w:rPr>
          <w:b/>
          <w:color w:val="2E4E7C"/>
          <w:sz w:val="22"/>
        </w:rPr>
        <w:t>CUARTA: OBLIGACIONES DE LA CONSULTORA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Calidad y diligencia profesional; (b) cumplimiento del Código de Ética del Colegio Profesional; (c) confidencialidad estricta; (d) actualización continua; (e) entrega oportuna de productos.</w:t>
      </w:r>
    </w:p>
    <w:p>
      <w:pPr>
        <w:jc w:val="left"/>
      </w:pPr>
      <w:r>
        <w:rPr>
          <w:b/>
          <w:color w:val="2E4E7C"/>
          <w:sz w:val="22"/>
        </w:rPr>
        <w:t>QUINTA: OBLIGACIONES DEL CLIENTE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Proveer información completa, veraz y oportuna; (b) facilitar acceso a libros y registros; (c) pagar puntualmente; (d) tomar las decisiones que le correspondan.</w:t>
      </w:r>
    </w:p>
    <w:p>
      <w:pPr>
        <w:jc w:val="left"/>
      </w:pPr>
      <w:r>
        <w:rPr>
          <w:b/>
          <w:color w:val="2E4E7C"/>
          <w:sz w:val="22"/>
        </w:rPr>
        <w:t>SEXTA: RESPONSABILIDAD Y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FIRMA responde por errores profesionales graves. NO responde por: (a) decisiones del CLIENTE contra su recomendación; (b) cambios normativos imprevistos; (c) interpretaciones administrativas posteriores; (d) hechos ocultados por el CLIENTE. Limitación de responsabilidad: máximo el equivalente a 12 meses de honorarios.</w:t>
      </w:r>
    </w:p>
    <w:p>
      <w:pPr>
        <w:jc w:val="left"/>
      </w:pPr>
      <w:r>
        <w:rPr>
          <w:b/>
          <w:color w:val="2E4E7C"/>
          <w:sz w:val="22"/>
        </w:rPr>
        <w:t>SÉPTIMA: CONFIDENCIALIDAD Y SECRETO PROFESIONAL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tributaria del CLIENTE es estrictamente confidencial. Aplica secreto profesional del contador / abogado conforme a leyes guatemaltecas.</w:t>
      </w:r>
    </w:p>
    <w:p>
      <w:pPr>
        <w:jc w:val="left"/>
      </w:pPr>
      <w:r>
        <w:rPr>
          <w:b/>
          <w:color w:val="2E4E7C"/>
          <w:sz w:val="22"/>
        </w:rPr>
        <w:t>OCTAVA: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metodologías, plantillas y conocimientos generales son de la FIRMA. Los trabajos específicos elaborados para EL CLIENTE le pertenecen.</w:t>
      </w:r>
    </w:p>
    <w:p>
      <w:pPr>
        <w:jc w:val="left"/>
      </w:pPr>
      <w:r>
        <w:rPr>
          <w:b/>
          <w:color w:val="2E4E7C"/>
          <w:sz w:val="22"/>
        </w:rPr>
        <w:t>NOVENA: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inicial de [#] meses, prorrogable automáticamente salvo aviso en contrario con [#] días.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AUDITORÍA TRIBUTARIA SAT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auditoría tributaria iniciada por SAT, LA FIRMA representará al CLIENTE con honorarios adicionales según tarifario.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FIRMA CONSULTORA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Servicios profesionales tributarios deben prestarse por profesionales colegiados activos (Contadores Públicos y Auditores / Abogados).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el Código de Ética del Colegio de Contadores Públicos y Auditores y del Colegio de Abogados.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secreto profesional está protegido por la Constitución y leyes especiales.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planificación fiscal vs. evasión: distinción crítica. La planificación lícita es válida; la evasión es delito.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Honorarios sujetos a IVA (12%) e ISR.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seguro de responsabilidad civil profesional.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representación ante SAT en procesos administrativos, basta poder; en procesos contencioso-administrativos, mandato judicial.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[ÉXITO / SUCCESS FEE]</w:t>
            </w:r>
          </w:p>
        </w:tc>
        <w:tc>
          <w:tcPr>
            <w:tcW w:type="dxa" w:w="4703"/>
          </w:tcPr>
          <w:p>
            <w:r>
              <w:t>Honorario contingente al resultado favorable.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Colegiación activa de profesionales</w:t>
      </w:r>
    </w:p>
    <w:p>
      <w:r>
        <w:rPr>
          <w:rFonts w:ascii="Calibri" w:hAnsi="Calibri"/>
          <w:b w:val="0"/>
          <w:i w:val="0"/>
          <w:sz w:val="21"/>
        </w:rPr>
        <w:t>☐  Seguro de responsabilidad profesional</w:t>
      </w:r>
    </w:p>
    <w:p>
      <w:r>
        <w:rPr>
          <w:rFonts w:ascii="Calibri" w:hAnsi="Calibri"/>
          <w:b w:val="0"/>
          <w:i w:val="0"/>
          <w:sz w:val="21"/>
        </w:rPr>
        <w:t>☐  Alcance bien definido</w:t>
      </w:r>
    </w:p>
    <w:p>
      <w:r>
        <w:rPr>
          <w:rFonts w:ascii="Calibri" w:hAnsi="Calibri"/>
          <w:b w:val="0"/>
          <w:i w:val="0"/>
          <w:sz w:val="21"/>
        </w:rPr>
        <w:t>☐  Listado de personal asignado</w:t>
      </w:r>
    </w:p>
    <w:p>
      <w:r>
        <w:rPr>
          <w:rFonts w:ascii="Calibri" w:hAnsi="Calibri"/>
          <w:b w:val="0"/>
          <w:i w:val="0"/>
          <w:sz w:val="21"/>
        </w:rPr>
        <w:t>☐  Procedimientos de confidencialidad</w:t>
      </w:r>
    </w:p>
    <w:p>
      <w:r>
        <w:rPr>
          <w:rFonts w:ascii="Calibri" w:hAnsi="Calibri"/>
          <w:b w:val="0"/>
          <w:i w:val="0"/>
          <w:sz w:val="21"/>
        </w:rPr>
        <w:t>☐  Tarifario aprobado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