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APLICACIÓN DE CONVENIO PARA EVITAR DOBLE TRIBUTACIÓN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Convenios suscritos por Guatemala y Decreto 10-2012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EMPRESA EXTRANJERA (PAÍS X)'.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'LA EMPRESA GUATEMALTECA'.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existe Convenio para Evitar la Doble Tributación entre Guatemala y [PAÍS] (Decreto del Congreso [#]).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la empresa extranjera es residente fiscal en [PAÍS X] y desea beneficiarse de los términos del Convenio.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CALIFICACIÓN DE RENTA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ingreso a recibir califica como: [INTERESES / DIVIDENDOS / REGALÍAS / SERVICIOS TÉCNICOS / GANANCIA DE CAPITAL]. La cuantía estimada anual es Q[MONTO].</w:t>
      </w:r>
    </w:p>
    <w:p>
      <w:pPr>
        <w:jc w:val="left"/>
      </w:pPr>
      <w:r>
        <w:rPr>
          <w:b/>
          <w:color w:val="2E4E7C"/>
          <w:sz w:val="22"/>
        </w:rPr>
        <w:t>SEGUNDA: TASA REDUCIDA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al Art. [#] del Convenio, la retención en la fuente aplicable es del [#]% (en lugar del [#]% aplicable a no convencionados).</w:t>
      </w:r>
    </w:p>
    <w:p>
      <w:pPr>
        <w:jc w:val="left"/>
      </w:pPr>
      <w:r>
        <w:rPr>
          <w:b/>
          <w:color w:val="2E4E7C"/>
          <w:sz w:val="22"/>
        </w:rPr>
        <w:t>TERCERA: ACREDITACIÓN DE RESIDENCIA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EMPRESA EXTRANJERA presenta Certificado de Residencia Fiscal emitido por la autoridad fiscal de [PAÍS X], válido para el período fiscal correspondiente.</w:t>
      </w:r>
    </w:p>
    <w:p>
      <w:pPr>
        <w:jc w:val="left"/>
      </w:pPr>
      <w:r>
        <w:rPr>
          <w:b/>
          <w:color w:val="2E4E7C"/>
          <w:sz w:val="22"/>
        </w:rPr>
        <w:t>CUARTA: ACREDITACIÓN BENEFICIARIO EFECTIVO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EMPRESA EXTRANJERA declara y garantiza ser el beneficiario efectivo de los ingresos, no actuando como intermediaria de terceros con propósito de obtener beneficios del Convenio (cláusula anti-treaty shopping).</w:t>
      </w:r>
    </w:p>
    <w:p>
      <w:pPr>
        <w:jc w:val="left"/>
      </w:pPr>
      <w:r>
        <w:rPr>
          <w:b/>
          <w:color w:val="2E4E7C"/>
          <w:sz w:val="22"/>
        </w:rPr>
        <w:t>QUINTA: RETENCIÓN EN LA FUENTE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EMPRESA GUATEMALTECA aplicará la retención del [#]% conforme al Convenio. Entregará a la EXTRANJERA constancia de retención emitida bajo formato SAT.</w:t>
      </w:r>
    </w:p>
    <w:p>
      <w:pPr>
        <w:jc w:val="left"/>
      </w:pPr>
      <w:r>
        <w:rPr>
          <w:b/>
          <w:color w:val="2E4E7C"/>
          <w:sz w:val="22"/>
        </w:rPr>
        <w:t>SEXTA: DECLARACIONES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EMPRESA EXTRANJERA podrá utilizar la retención como crédito fiscal en [PAÍS X] conforme al método previsto en el Convenio (exención / crédito).</w:t>
      </w:r>
    </w:p>
    <w:p>
      <w:pPr>
        <w:jc w:val="left"/>
      </w:pPr>
      <w:r>
        <w:rPr>
          <w:b/>
          <w:color w:val="2E4E7C"/>
          <w:sz w:val="22"/>
        </w:rPr>
        <w:t>SÉPTIMA: INTERCAMBIO DE INFORMACIÓN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reconocen que SAT puede intercambiar información con autoridades de [PAÍS X] conforme al Convenio.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CONSULTA PREVIA A SAT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solicitarán criterio previo a SAT sobre la calificación de la renta y la tasa aplicable.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EMPRESA EXTRANJERA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EMPRESA GUATEMALTECA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Guatemala tiene Convenios para Evitar Doble Tributación con: México (vigente), España (vigente), Holanda (vigente), Italia (vigente) — verificar estado a la fecha de la operación.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Aplicación: tasa de retención convencional vs. tasa general (15%-25%).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Requisitos: residencia fiscal certificada, beneficiario efectivo, propósito comercial.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Anti-treaty shopping: cláusula de Limitación de Beneficios (LOB) y/o test de propósito principal (PPT) en convenios modernos.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Documentación: certificado de residencia, contrato, factura, transferencia bancaria, constancias.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Crédito fiscal en el país de residencia para evitar doble imposición efectiva.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Intercambio automático de información tributaria conforme a OCDE.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[CDI]</w:t>
            </w:r>
          </w:p>
        </w:tc>
        <w:tc>
          <w:tcPr>
            <w:tcW w:type="dxa" w:w="4703"/>
          </w:tcPr>
          <w:p>
            <w:r>
              <w:t>Convenio para Evitar la Doble Imposición.</w:t>
            </w:r>
          </w:p>
        </w:tc>
      </w:tr>
      <w:tr>
        <w:tc>
          <w:tcPr>
            <w:tcW w:type="dxa" w:w="4703"/>
          </w:tcPr>
          <w:p>
            <w:r>
              <w:t>[BENEFICIARIO EFECTIVO]</w:t>
            </w:r>
          </w:p>
        </w:tc>
        <w:tc>
          <w:tcPr>
            <w:tcW w:type="dxa" w:w="4703"/>
          </w:tcPr>
          <w:p>
            <w:r>
              <w:t>Real titular económico del ingreso.</w:t>
            </w:r>
          </w:p>
        </w:tc>
      </w:tr>
      <w:tr>
        <w:tc>
          <w:tcPr>
            <w:tcW w:type="dxa" w:w="4703"/>
          </w:tcPr>
          <w:p>
            <w:r>
              <w:t>[TREATY SHOPPING]</w:t>
            </w:r>
          </w:p>
        </w:tc>
        <w:tc>
          <w:tcPr>
            <w:tcW w:type="dxa" w:w="4703"/>
          </w:tcPr>
          <w:p>
            <w:r>
              <w:t>Uso indebido de convenios por residentes de terceros países.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Convenio aplicable vigente</w:t>
      </w:r>
    </w:p>
    <w:p>
      <w:r>
        <w:rPr>
          <w:rFonts w:ascii="Calibri" w:hAnsi="Calibri"/>
          <w:b w:val="0"/>
          <w:i w:val="0"/>
          <w:sz w:val="21"/>
        </w:rPr>
        <w:t>☐  Certificado de residencia fiscal vigente</w:t>
      </w:r>
    </w:p>
    <w:p>
      <w:r>
        <w:rPr>
          <w:rFonts w:ascii="Calibri" w:hAnsi="Calibri"/>
          <w:b w:val="0"/>
          <w:i w:val="0"/>
          <w:sz w:val="21"/>
        </w:rPr>
        <w:t>☐  Análisis de beneficiario efectivo</w:t>
      </w:r>
    </w:p>
    <w:p>
      <w:r>
        <w:rPr>
          <w:rFonts w:ascii="Calibri" w:hAnsi="Calibri"/>
          <w:b w:val="0"/>
          <w:i w:val="0"/>
          <w:sz w:val="21"/>
        </w:rPr>
        <w:t>☐  Verificar cláusula LOB / PPT</w:t>
      </w:r>
    </w:p>
    <w:p>
      <w:r>
        <w:rPr>
          <w:rFonts w:ascii="Calibri" w:hAnsi="Calibri"/>
          <w:b w:val="0"/>
          <w:i w:val="0"/>
          <w:sz w:val="21"/>
        </w:rPr>
        <w:t>☐  Constancia SAT de retención correcta</w:t>
      </w:r>
    </w:p>
    <w:p>
      <w:r>
        <w:rPr>
          <w:rFonts w:ascii="Calibri" w:hAnsi="Calibri"/>
          <w:b w:val="0"/>
          <w:i w:val="0"/>
          <w:sz w:val="21"/>
        </w:rPr>
        <w:t>☐  Documentación soporte completa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