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CONVENIO DE FACILIDADES DE PAGO CON LA SAT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Tributario (Decreto 6-91, Art. 40) y reglamentos SAT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'SUPERINTENDENCIA DE ADMINISTRACIÓN TRIBUTARIA (SAT)'.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CONTRIBUYENTE'.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CONTRIBUYENTE tiene obligaciones tributarias líquidas y exigibles por la suma total de Q[MONTO], integradas por: ISR Q[#]; IVA Q[#]; multas e intereses Q[#]; mora Q[#].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contribuyente ha solicitado facilidades de pago conforme al Art. 40 del Código Tributario.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la SAT, evaluada la capacidad económica, ha resuelto otorgarlas.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MONTO ADEUDADO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reconoce adeudo total de Q[MONTO TOTAL], integrado en la liquidación adjunta como Anexo A, distribuido por impuesto, multa, mora e intereses.</w:t>
      </w:r>
    </w:p>
    <w:p>
      <w:pPr>
        <w:jc w:val="left"/>
      </w:pPr>
      <w:r>
        <w:rPr>
          <w:b/>
          <w:color w:val="2E4E7C"/>
          <w:sz w:val="22"/>
        </w:rPr>
        <w:t>SEGUNDA: CRONOGRAMA DE PAGO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CONTRIBUYENTE pagará el adeudo en [#] cuotas mensuales fijas de Q[MONTO], los primeros [#] días de cada mes, iniciando el [FECHA] y finalizando el [FECHA]. Los intereses se siguen devengando sobre el saldo insoluto.</w:t>
      </w:r>
    </w:p>
    <w:p>
      <w:pPr>
        <w:jc w:val="left"/>
      </w:pPr>
      <w:r>
        <w:rPr>
          <w:b/>
          <w:color w:val="2E4E7C"/>
          <w:sz w:val="22"/>
        </w:rPr>
        <w:t>TERCERA: INTERESES Y RECARGOS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Sobre el saldo insoluto se causarán intereses al tipo legal vigente (Art. 58 Código Tributario). Los recargos por mora se causan adicionalmente.</w:t>
      </w:r>
    </w:p>
    <w:p>
      <w:pPr>
        <w:jc w:val="left"/>
      </w:pPr>
      <w:r>
        <w:rPr>
          <w:b/>
          <w:color w:val="2E4E7C"/>
          <w:sz w:val="22"/>
        </w:rPr>
        <w:t>CUARTA: GARANTÍAS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convenio se garantiza con: [opciones: (a) hipoteca sobre inmueble [DESCRIPCIÓN]; (b) prenda sobre [BIEN]; (c) fianza bancaria #[#] del banco [NOMBRE]; (d) póliza de fianza emitida por [ASEGURADORA]].</w:t>
      </w:r>
    </w:p>
    <w:p>
      <w:pPr>
        <w:jc w:val="left"/>
      </w:pPr>
      <w:r>
        <w:rPr>
          <w:b/>
          <w:color w:val="2E4E7C"/>
          <w:sz w:val="22"/>
        </w:rPr>
        <w:t>QUINTA: VENCIMIENTO ANTICIPADO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incumplimiento de cualquier cuota dará por vencido el plazo, exigiéndose el saldo total con intereses y costas, sin necesidad de declaración. La SAT podrá iniciar el procedimiento de cobro coactivo.</w:t>
      </w:r>
    </w:p>
    <w:p>
      <w:pPr>
        <w:jc w:val="left"/>
      </w:pPr>
      <w:r>
        <w:rPr>
          <w:b/>
          <w:color w:val="2E4E7C"/>
          <w:sz w:val="22"/>
        </w:rPr>
        <w:t>SEXTA: OBLIGACIONES ACCESORIAS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Durante la vigencia del convenio, EL CONTRIBUYENTE se obliga a: (a) cumplir puntualmente con las obligaciones tributarias corrientes; (b) presentar declaraciones periódicas; (c) mantener al día sus libros contables; (d) informar a SAT cambios en datos del RTU.</w:t>
      </w:r>
    </w:p>
    <w:p>
      <w:pPr>
        <w:jc w:val="left"/>
      </w:pPr>
      <w:r>
        <w:rPr>
          <w:b/>
          <w:color w:val="2E4E7C"/>
          <w:sz w:val="22"/>
        </w:rPr>
        <w:t>SÉPTIMA: EFECTOS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suscripción del convenio: (a) suspende el procedimiento económico coactivo; (b) interrumpe la prescripción; (c) constituye reconocimiento del adeudo. NO implica condonación del adeudo principal.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CUOTAS ESCALONADAS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Alternativamente, las cuotas serán progresivas: Q[A] los primeros 6 meses; Q[B] los siguientes 6 meses; Q[C] los últimos 6 meses.</w:t>
      </w:r>
    </w:p>
    <w:p>
      <w:pPr>
        <w:jc w:val="left"/>
      </w:pPr>
      <w:r>
        <w:rPr>
          <w:b/>
          <w:color w:val="2E4E7C"/>
          <w:sz w:val="22"/>
        </w:rPr>
        <w:t>[OPCIONAL] DESCUENTO POR PAGO ANTICIPADO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EL CONTRIBUYENTE paga el saldo total anticipadamente, se descontará el [#]% de los intereses pendientes.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SAT (REPRESENTANTE)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CONTRIBUYENTE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Art. 40 del Código Tributario (Dto. 6-91) y reformas; Reglamento SAT.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Las facilidades de pago no implican condonación del adeudo principal ni extinción de la deuda.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Causa intereses corrientes y moratorios sobre el saldo.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Garantía obligatoria si el adeudo excede los umbrales fijados por SAT.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Procedimiento: solicitud → análisis de capacidad → aprobación → convenio.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Plazo máximo: hasta 18 meses para casos típicos; mayores requieren autorización especial.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Incumplimiento causa vencimiento anticipado y cobro coactivo.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Aplicable a impuestos administrados por SAT: ISR, IVA, ISO, ISC, derechos arancelarios.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No aplicable a tributos municipales (procedimientos distintos).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[FACILIDADES DE PAGO]</w:t>
            </w:r>
          </w:p>
        </w:tc>
        <w:tc>
          <w:tcPr>
            <w:tcW w:type="dxa" w:w="4703"/>
          </w:tcPr>
          <w:p>
            <w:r>
              <w:t>Mecanismo de pago fraccionado de adeudo tributario.</w:t>
            </w:r>
          </w:p>
        </w:tc>
      </w:tr>
      <w:tr>
        <w:tc>
          <w:tcPr>
            <w:tcW w:type="dxa" w:w="4703"/>
          </w:tcPr>
          <w:p>
            <w:r>
              <w:t>[COBRO COACTIVO]</w:t>
            </w:r>
          </w:p>
        </w:tc>
        <w:tc>
          <w:tcPr>
            <w:tcW w:type="dxa" w:w="4703"/>
          </w:tcPr>
          <w:p>
            <w:r>
              <w:t>Procedimiento administrativo de ejecución forzosa de SAT.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Liquidación SAT firme</w:t>
      </w:r>
    </w:p>
    <w:p>
      <w:r>
        <w:rPr>
          <w:rFonts w:ascii="Calibri" w:hAnsi="Calibri"/>
          <w:b w:val="0"/>
          <w:i w:val="0"/>
          <w:sz w:val="21"/>
        </w:rPr>
        <w:t>☐  Solicitud de facilidades de pago</w:t>
      </w:r>
    </w:p>
    <w:p>
      <w:r>
        <w:rPr>
          <w:rFonts w:ascii="Calibri" w:hAnsi="Calibri"/>
          <w:b w:val="0"/>
          <w:i w:val="0"/>
          <w:sz w:val="21"/>
        </w:rPr>
        <w:t>☐  Estados financieros del contribuyente</w:t>
      </w:r>
    </w:p>
    <w:p>
      <w:r>
        <w:rPr>
          <w:rFonts w:ascii="Calibri" w:hAnsi="Calibri"/>
          <w:b w:val="0"/>
          <w:i w:val="0"/>
          <w:sz w:val="21"/>
        </w:rPr>
        <w:t>☐  Flujo de caja proyectado</w:t>
      </w:r>
    </w:p>
    <w:p>
      <w:r>
        <w:rPr>
          <w:rFonts w:ascii="Calibri" w:hAnsi="Calibri"/>
          <w:b w:val="0"/>
          <w:i w:val="0"/>
          <w:sz w:val="21"/>
        </w:rPr>
        <w:t>☐  Garantías propuestas y valuación</w:t>
      </w:r>
    </w:p>
    <w:p>
      <w:r>
        <w:rPr>
          <w:rFonts w:ascii="Calibri" w:hAnsi="Calibri"/>
          <w:b w:val="0"/>
          <w:i w:val="0"/>
          <w:sz w:val="21"/>
        </w:rPr>
        <w:t>☐  Estado de obligaciones corrientes al día</w:t>
      </w:r>
    </w:p>
    <w:p>
      <w:r>
        <w:rPr>
          <w:rFonts w:ascii="Calibri" w:hAnsi="Calibri"/>
          <w:b w:val="0"/>
          <w:i w:val="0"/>
          <w:sz w:val="21"/>
        </w:rPr>
        <w:t>☐  RTU actualizado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