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ACUERDO DE PRECIOS DE TRANSFERENCIA — DOCUMENTACIÓN TRANSACCIONAL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Conforme a la Ley de Actualización Tributaria (Decreto 10-2012, Arts. 54–67)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[TIPO: anónima / de responsabilidad limitada] organizada conforme a las leyes de Guatemala, con domicilio en [DIRECCIÓN], inscrita en el Registro Mercantil General de la República al número [#], folio [#], del libro [#] de [Sociedades / Comerciantes], NIT [NIT], patente de comercio número [#], representada en este acto por [NOMBRE DEL REPRESENTANTE LEGAL], de [EDAD] años, [ESTADO CIVIL], [NACIONALIDAD], [PROFESIÓN], identificado con DPI [DPI], quien acredita su personería con [acta notarial de nombramiento / mandato] de fecha [FECHA], autorizada por el Notario [NOMBRE], inscrita en el Registro Mercantil al número [#], folio [#], del libro [#] de Auxiliares de Comercio; a quien en lo sucesivo se denominará 'LA EMPRESA GUATEMALTECA'.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[RAZÓN SOCIAL], sociedad [TIPO] con domicilio en [DIRECCIÓN], inscrita en el Registro Mercantil al número [#], folio [#], libro [#], NIT [NIT], representada por [NOMBRE], DPI [DPI], según [acta notarial / mandato] de fecha [FECHA], inscrita al número [#], folio [#], libro [#]; a quien se denominará 'LA EMPRESA VINCULADA EN EL EXTERIOR'.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partes, por medio de sus representantes legales y con las facultades necesarias,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Que las partes son entidades vinculadas conforme al Art. 56 del Decreto 10-2012.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II. Que realizan transacciones intra-grupo que deben ajustarse al principio de plena competencia (arm's length).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III. Que se documentan los términos bajo metodologías de precios de transferencia.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OPERACIÓN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[Describe la transacción intra-grupo: bienes, servicios, financiamiento, intangi-bles, costos compartidos]. Volumen anual estimado: Q[MONTO].</w:t>
      </w:r>
    </w:p>
    <w:p>
      <w:pPr>
        <w:jc w:val="left"/>
      </w:pPr>
      <w:r>
        <w:rPr>
          <w:b/>
          <w:color w:val="2E4E7C"/>
          <w:sz w:val="22"/>
        </w:rPr>
        <w:t>SEGUNDA: PRECIO Y MÉTODO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precio se fija aplicando el método de [precio comparable no controlado / precio de reventa / costo adicionado / partición de utilidades / margen neto transaccional], conforme a las Directrices OCDE adoptadas por el Decreto 10-2012.</w:t>
      </w:r>
    </w:p>
    <w:p>
      <w:pPr>
        <w:jc w:val="left"/>
      </w:pPr>
      <w:r>
        <w:rPr>
          <w:b/>
          <w:color w:val="2E4E7C"/>
          <w:sz w:val="22"/>
        </w:rPr>
        <w:t>TERCERA: DOCUMENTACIÓN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mantendrán durante 5 años (a) estudio de precios de transferencia anual; (b) Master File; (c) Local File; (d) Country-by-Country Report si aplica.</w:t>
      </w:r>
    </w:p>
    <w:p>
      <w:pPr>
        <w:jc w:val="left"/>
      </w:pPr>
      <w:r>
        <w:rPr>
          <w:b/>
          <w:color w:val="2E4E7C"/>
          <w:sz w:val="22"/>
        </w:rPr>
        <w:t>CUARTA: DEFINICIÓN DE PLENA COMPETENCIA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Los términos pactados son equivalentes a los que partes independientes habrían pactado en circunstancias comparables.</w:t>
      </w:r>
    </w:p>
    <w:p>
      <w:pPr>
        <w:jc w:val="left"/>
      </w:pPr>
      <w:r>
        <w:rPr>
          <w:b/>
          <w:color w:val="2E4E7C"/>
          <w:sz w:val="22"/>
        </w:rPr>
        <w:t>QUINTA: AJUSTES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Si SAT realiza ajustes basados en estudios alternativos, las partes podrán realizar ajustes compensatorios en el mismo o el siguiente ejercicio.</w:t>
      </w:r>
    </w:p>
    <w:p>
      <w:pPr>
        <w:jc w:val="left"/>
      </w:pPr>
      <w:r>
        <w:rPr>
          <w:b/>
          <w:color w:val="2E4E7C"/>
          <w:sz w:val="22"/>
        </w:rPr>
        <w:t>SEXTA: DECLARACIÓN INFORMATIVA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 EMPRESA GUATEMALTECA presentará anualmente la declaración informativa de operaciones con partes vinculadas conforme a normativa SAT.</w:t>
      </w:r>
    </w:p>
    <w:p>
      <w:pPr>
        <w:jc w:val="left"/>
      </w:pPr>
      <w:r>
        <w:rPr>
          <w:b/>
          <w:color w:val="2E4E7C"/>
          <w:sz w:val="22"/>
        </w:rPr>
        <w:t>SÉPTIMA: OBLIGACIONES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(a) Mantener documentación; (b) presentar informes; (c) colaborar en auditorías; (d) acordar ajustes compensatorios si proceden.</w:t>
      </w:r>
    </w:p>
    <w:p>
      <w:pPr>
        <w:jc w:val="left"/>
      </w:pPr>
      <w:r>
        <w:rPr>
          <w:b/>
          <w:color w:val="2E4E7C"/>
          <w:sz w:val="22"/>
        </w:rPr>
        <w:t>OCTAVA: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NOVENA: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PRIMERA: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SEGUNDA: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TERCERA: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CUARTA: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ACUERDO ANTICIPADO DE PRECIOS (APA)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solicitarán a SAT un APA bilateral conforme al procedimiento establecido, para acordar metodología y rangos por un plazo de 3-5 años.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LA EMPRESA GUATEMALTECA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LA EMPRESA VINCULADA</w:t>
        <w:br/>
        <w:t>[RAZÓN SOCIAL]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Base legal: Arts. 54–67 del Decreto 10-2012 (Ley de Actualización Tributaria).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Principio: ARM'S LENGTH (plena competencia).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Métodos permitidos: PCNC, Precio de Reventa, Costo Adicionado, Margen Neto Transaccional, Partición de Utilidades.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Documentación: Master File + Local File + Country-by-Country (si umbral).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Declaración anual informativa.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Sanciones por incumplimiento: multas significativas + ajustes con ISR + intereses.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Recomendable acuerdo anticipado de precios (APA) con SAT para certeza fiscal.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Aplica a empresas con operaciones con vinculadas extranjeras (paraísos fiscales automáticamente vinculadas).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Plazo de prescripción de ajuste: 4 años.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[ARM'S LENGTH]</w:t>
            </w:r>
          </w:p>
        </w:tc>
        <w:tc>
          <w:tcPr>
            <w:tcW w:type="dxa" w:w="4703"/>
          </w:tcPr>
          <w:p>
            <w:r>
              <w:t>Principio de plena competencia.</w:t>
            </w:r>
          </w:p>
        </w:tc>
      </w:tr>
      <w:tr>
        <w:tc>
          <w:tcPr>
            <w:tcW w:type="dxa" w:w="4703"/>
          </w:tcPr>
          <w:p>
            <w:r>
              <w:t>[APA]</w:t>
            </w:r>
          </w:p>
        </w:tc>
        <w:tc>
          <w:tcPr>
            <w:tcW w:type="dxa" w:w="4703"/>
          </w:tcPr>
          <w:p>
            <w:r>
              <w:t>Advance Pricing Agreement — acuerdo anticipado de precios.</w:t>
            </w:r>
          </w:p>
        </w:tc>
      </w:tr>
      <w:tr>
        <w:tc>
          <w:tcPr>
            <w:tcW w:type="dxa" w:w="4703"/>
          </w:tcPr>
          <w:p>
            <w:r>
              <w:t>[VINCULADAS]</w:t>
            </w:r>
          </w:p>
        </w:tc>
        <w:tc>
          <w:tcPr>
            <w:tcW w:type="dxa" w:w="4703"/>
          </w:tcPr>
          <w:p>
            <w:r>
              <w:t>Partes relacionadas conforme al Art. 56 LAT.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Identificación de partes vinculadas</w:t>
      </w:r>
    </w:p>
    <w:p>
      <w:r>
        <w:rPr>
          <w:rFonts w:ascii="Calibri" w:hAnsi="Calibri"/>
          <w:b w:val="0"/>
          <w:i w:val="0"/>
          <w:sz w:val="21"/>
        </w:rPr>
        <w:t>☐  Análisis funcional</w:t>
      </w:r>
    </w:p>
    <w:p>
      <w:r>
        <w:rPr>
          <w:rFonts w:ascii="Calibri" w:hAnsi="Calibri"/>
          <w:b w:val="0"/>
          <w:i w:val="0"/>
          <w:sz w:val="21"/>
        </w:rPr>
        <w:t>☐  Análisis de comparabilidad</w:t>
      </w:r>
    </w:p>
    <w:p>
      <w:r>
        <w:rPr>
          <w:rFonts w:ascii="Calibri" w:hAnsi="Calibri"/>
          <w:b w:val="0"/>
          <w:i w:val="0"/>
          <w:sz w:val="21"/>
        </w:rPr>
        <w:t>☐  Selección de método</w:t>
      </w:r>
    </w:p>
    <w:p>
      <w:r>
        <w:rPr>
          <w:rFonts w:ascii="Calibri" w:hAnsi="Calibri"/>
          <w:b w:val="0"/>
          <w:i w:val="0"/>
          <w:sz w:val="21"/>
        </w:rPr>
        <w:t>☐  Búsqueda de comparables</w:t>
      </w:r>
    </w:p>
    <w:p>
      <w:r>
        <w:rPr>
          <w:rFonts w:ascii="Calibri" w:hAnsi="Calibri"/>
          <w:b w:val="0"/>
          <w:i w:val="0"/>
          <w:sz w:val="21"/>
        </w:rPr>
        <w:t>☐  Estudio de precios de transferencia</w:t>
      </w:r>
    </w:p>
    <w:p>
      <w:r>
        <w:rPr>
          <w:rFonts w:ascii="Calibri" w:hAnsi="Calibri"/>
          <w:b w:val="0"/>
          <w:i w:val="0"/>
          <w:sz w:val="21"/>
        </w:rPr>
        <w:t>☐  Master File / Local File</w:t>
      </w:r>
    </w:p>
    <w:p>
      <w:r>
        <w:rPr>
          <w:rFonts w:ascii="Calibri" w:hAnsi="Calibri"/>
          <w:b w:val="0"/>
          <w:i w:val="0"/>
          <w:sz w:val="21"/>
        </w:rPr>
        <w:t>☐  Declaración informativa anual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